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3D5" w:rsidRDefault="003C63D5" w:rsidP="003C63D5">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w:t>
      </w:r>
      <w:r w:rsidRPr="00A52AF6">
        <w:rPr>
          <w:rFonts w:ascii="Palatino Linotype" w:eastAsia="Times New Roman" w:hAnsi="Palatino Linotype" w:cs="Arial"/>
          <w:color w:val="000000"/>
          <w:sz w:val="24"/>
          <w:szCs w:val="24"/>
          <w:lang w:eastAsia="es-MX"/>
        </w:rPr>
        <w:t xml:space="preserve">xico, </w:t>
      </w:r>
      <w:r w:rsidRPr="00813005">
        <w:rPr>
          <w:rFonts w:ascii="Palatino Linotype" w:eastAsia="Times New Roman" w:hAnsi="Palatino Linotype" w:cs="Arial"/>
          <w:color w:val="000000"/>
          <w:sz w:val="24"/>
          <w:szCs w:val="24"/>
          <w:lang w:eastAsia="es-MX"/>
        </w:rPr>
        <w:t xml:space="preserve">a </w:t>
      </w:r>
      <w:r w:rsidR="005548D6">
        <w:rPr>
          <w:rFonts w:ascii="Palatino Linotype" w:eastAsia="Times New Roman" w:hAnsi="Palatino Linotype" w:cs="Arial"/>
          <w:color w:val="000000"/>
          <w:sz w:val="24"/>
          <w:szCs w:val="24"/>
          <w:lang w:eastAsia="es-MX"/>
        </w:rPr>
        <w:t>catorce de noviembre</w:t>
      </w:r>
      <w:r>
        <w:rPr>
          <w:rFonts w:ascii="Palatino Linotype" w:eastAsia="Times New Roman" w:hAnsi="Palatino Linotype" w:cs="Arial"/>
          <w:color w:val="000000"/>
          <w:sz w:val="24"/>
          <w:szCs w:val="24"/>
          <w:lang w:eastAsia="es-MX"/>
        </w:rPr>
        <w:t xml:space="preserve"> de dos mil dieciocho</w:t>
      </w:r>
      <w:r w:rsidRPr="00813005">
        <w:rPr>
          <w:rFonts w:ascii="Palatino Linotype" w:eastAsia="Times New Roman" w:hAnsi="Palatino Linotype" w:cs="Arial"/>
          <w:color w:val="000000"/>
          <w:sz w:val="24"/>
          <w:szCs w:val="24"/>
          <w:lang w:eastAsia="es-MX"/>
        </w:rPr>
        <w:t>.</w:t>
      </w:r>
    </w:p>
    <w:p w:rsidR="003C63D5" w:rsidRPr="00F07740" w:rsidRDefault="003C63D5" w:rsidP="003C63D5">
      <w:pPr>
        <w:shd w:val="clear" w:color="auto" w:fill="FFFFFF"/>
        <w:spacing w:after="0" w:line="360" w:lineRule="auto"/>
        <w:jc w:val="both"/>
        <w:rPr>
          <w:rFonts w:ascii="Palatino Linotype" w:eastAsia="Times New Roman" w:hAnsi="Palatino Linotype" w:cs="Arial"/>
          <w:color w:val="000000"/>
          <w:sz w:val="24"/>
          <w:szCs w:val="24"/>
          <w:lang w:eastAsia="es-MX"/>
        </w:rPr>
      </w:pPr>
    </w:p>
    <w:p w:rsidR="003C63D5" w:rsidRDefault="003C63D5" w:rsidP="003C63D5">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5548D6" w:rsidRPr="005548D6">
        <w:rPr>
          <w:rFonts w:ascii="Palatino Linotype" w:hAnsi="Palatino Linotype" w:cs="Arial"/>
          <w:b/>
          <w:bCs/>
          <w:sz w:val="24"/>
          <w:lang w:eastAsia="es-MX"/>
        </w:rPr>
        <w:t>03490/INFOEM/IP/RR/2018</w:t>
      </w:r>
      <w:r>
        <w:rPr>
          <w:rFonts w:ascii="Palatino Linotype" w:hAnsi="Palatino Linotype" w:cs="Arial"/>
          <w:sz w:val="24"/>
        </w:rPr>
        <w:t xml:space="preserve">, </w:t>
      </w:r>
      <w:r w:rsidR="00C1650F">
        <w:rPr>
          <w:rFonts w:ascii="Palatino Linotype" w:hAnsi="Palatino Linotype" w:cs="Arial"/>
          <w:sz w:val="24"/>
        </w:rPr>
        <w:t>interpuesto por</w:t>
      </w:r>
      <w:r w:rsidR="005548D6">
        <w:rPr>
          <w:rFonts w:ascii="Palatino Linotype" w:hAnsi="Palatino Linotype" w:cs="Arial"/>
          <w:sz w:val="24"/>
        </w:rPr>
        <w:t xml:space="preserve"> la </w:t>
      </w:r>
      <w:r w:rsidR="005548D6" w:rsidRPr="005548D6">
        <w:rPr>
          <w:rFonts w:ascii="Palatino Linotype" w:hAnsi="Palatino Linotype" w:cs="Arial"/>
          <w:b/>
          <w:sz w:val="24"/>
        </w:rPr>
        <w:t>C.</w:t>
      </w:r>
      <w:r w:rsidRPr="00224181">
        <w:rPr>
          <w:rFonts w:ascii="Palatino Linotype" w:hAnsi="Palatino Linotype" w:cs="Arial"/>
          <w:sz w:val="24"/>
        </w:rPr>
        <w:t xml:space="preserve"> </w:t>
      </w:r>
      <w:r w:rsidR="005D4F1F">
        <w:rPr>
          <w:rFonts w:ascii="Palatino Linotype" w:hAnsi="Palatino Linotype" w:cs="Arial"/>
          <w:b/>
          <w:sz w:val="24"/>
          <w:szCs w:val="24"/>
        </w:rPr>
        <w:t>XXXXXXXXXXXXXXXX</w:t>
      </w:r>
      <w:r w:rsidR="005548D6">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277C48">
        <w:rPr>
          <w:rFonts w:ascii="Palatino Linotype" w:hAnsi="Palatino Linotype" w:cs="Arial"/>
          <w:b/>
          <w:sz w:val="24"/>
        </w:rPr>
        <w:t>la recurrente</w:t>
      </w:r>
      <w:r w:rsidRPr="00224181">
        <w:rPr>
          <w:rFonts w:ascii="Palatino Linotype" w:hAnsi="Palatino Linotype" w:cs="Arial"/>
          <w:sz w:val="24"/>
        </w:rPr>
        <w:t xml:space="preserve">, en contra de la respuesta </w:t>
      </w:r>
      <w:r w:rsidR="00277C48">
        <w:rPr>
          <w:rFonts w:ascii="Palatino Linotype" w:hAnsi="Palatino Linotype" w:cs="Arial"/>
          <w:sz w:val="24"/>
          <w:szCs w:val="24"/>
        </w:rPr>
        <w:t>de la</w:t>
      </w:r>
      <w:r w:rsidRPr="00224181">
        <w:rPr>
          <w:rFonts w:ascii="Palatino Linotype" w:hAnsi="Palatino Linotype" w:cs="Arial"/>
          <w:sz w:val="24"/>
          <w:szCs w:val="24"/>
        </w:rPr>
        <w:t xml:space="preserve"> </w:t>
      </w:r>
      <w:r w:rsidR="00277C48" w:rsidRPr="00277C48">
        <w:rPr>
          <w:rFonts w:ascii="Palatino Linotype" w:hAnsi="Palatino Linotype" w:cs="Arial"/>
          <w:b/>
          <w:sz w:val="24"/>
          <w:szCs w:val="24"/>
        </w:rPr>
        <w:t>Secretaría de Educación</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3C63D5" w:rsidRDefault="003C63D5" w:rsidP="003C63D5">
      <w:pPr>
        <w:tabs>
          <w:tab w:val="left" w:pos="1701"/>
        </w:tabs>
        <w:spacing w:after="0" w:line="360" w:lineRule="auto"/>
        <w:jc w:val="both"/>
        <w:rPr>
          <w:rFonts w:ascii="Palatino Linotype" w:hAnsi="Palatino Linotype" w:cs="Arial"/>
          <w:sz w:val="24"/>
        </w:rPr>
      </w:pPr>
    </w:p>
    <w:p w:rsidR="003C63D5" w:rsidRDefault="003C63D5" w:rsidP="003C63D5">
      <w:pPr>
        <w:spacing w:after="0" w:line="360" w:lineRule="auto"/>
        <w:jc w:val="center"/>
        <w:rPr>
          <w:rFonts w:ascii="Palatino Linotype" w:hAnsi="Palatino Linotype"/>
          <w:b/>
          <w:sz w:val="28"/>
        </w:rPr>
      </w:pPr>
      <w:r>
        <w:rPr>
          <w:rFonts w:ascii="Palatino Linotype" w:hAnsi="Palatino Linotype"/>
          <w:b/>
          <w:sz w:val="28"/>
        </w:rPr>
        <w:t>A N T E C E D E N T E S</w:t>
      </w:r>
    </w:p>
    <w:p w:rsidR="003C63D5" w:rsidRPr="00F205B9" w:rsidRDefault="003C63D5" w:rsidP="003C63D5">
      <w:pPr>
        <w:spacing w:after="0" w:line="360" w:lineRule="auto"/>
        <w:jc w:val="center"/>
        <w:rPr>
          <w:rFonts w:ascii="Palatino Linotype" w:hAnsi="Palatino Linotype"/>
          <w:b/>
          <w:sz w:val="28"/>
        </w:rPr>
      </w:pPr>
    </w:p>
    <w:p w:rsidR="003C63D5" w:rsidRDefault="003C63D5" w:rsidP="003C63D5">
      <w:pPr>
        <w:spacing w:after="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277C48" w:rsidRDefault="00277C48" w:rsidP="00277C48">
      <w:pPr>
        <w:spacing w:after="0" w:line="360" w:lineRule="auto"/>
        <w:jc w:val="both"/>
        <w:rPr>
          <w:rFonts w:ascii="Palatino Linotype" w:hAnsi="Palatino Linotype" w:cs="Arial"/>
          <w:sz w:val="24"/>
        </w:rPr>
      </w:pPr>
      <w:r>
        <w:rPr>
          <w:rFonts w:ascii="Palatino Linotype" w:hAnsi="Palatino Linotype" w:cs="Arial"/>
          <w:sz w:val="24"/>
        </w:rPr>
        <w:t xml:space="preserve">Con fecha once de septiembre de dos mil dieciocho, </w:t>
      </w:r>
      <w:r>
        <w:rPr>
          <w:rFonts w:ascii="Palatino Linotype" w:hAnsi="Palatino Linotype" w:cs="Arial"/>
          <w:b/>
          <w:sz w:val="24"/>
        </w:rPr>
        <w:t>la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Pr="00277C48">
        <w:rPr>
          <w:rFonts w:ascii="Palatino Linotype" w:hAnsi="Palatino Linotype" w:cs="Arial"/>
          <w:b/>
          <w:sz w:val="24"/>
        </w:rPr>
        <w:t>00662/SE/IP/2018</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3C63D5" w:rsidRDefault="003C63D5" w:rsidP="003C63D5">
      <w:pPr>
        <w:spacing w:after="0" w:line="360" w:lineRule="auto"/>
        <w:jc w:val="both"/>
        <w:rPr>
          <w:rFonts w:ascii="Palatino Linotype" w:hAnsi="Palatino Linotype" w:cs="Arial"/>
          <w:sz w:val="24"/>
        </w:rPr>
      </w:pPr>
    </w:p>
    <w:p w:rsidR="003C63D5" w:rsidRPr="00DE246E" w:rsidRDefault="003C63D5" w:rsidP="00F40842">
      <w:pPr>
        <w:spacing w:after="0" w:line="240" w:lineRule="auto"/>
        <w:ind w:left="567" w:right="567"/>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277C48" w:rsidRPr="00277C48">
        <w:rPr>
          <w:rFonts w:ascii="Palatino Linotype" w:eastAsia="Times New Roman" w:hAnsi="Palatino Linotype" w:cs="Times New Roman"/>
          <w:i/>
          <w:lang w:val="es-ES_tradnl" w:eastAsia="es-ES"/>
        </w:rPr>
        <w:t>Vacantes existentes para trabajadores sociales en la educación especial del Estado de México, así como su ubicación.</w:t>
      </w:r>
      <w:r w:rsidRPr="00DE246E">
        <w:rPr>
          <w:rFonts w:ascii="Palatino Linotype" w:eastAsia="Times New Roman" w:hAnsi="Palatino Linotype" w:cs="Times New Roman"/>
          <w:i/>
          <w:lang w:val="es-ES_tradnl" w:eastAsia="es-ES"/>
        </w:rPr>
        <w:t xml:space="preserve">” </w:t>
      </w:r>
      <w:r>
        <w:rPr>
          <w:rFonts w:ascii="Palatino Linotype" w:eastAsia="Times New Roman" w:hAnsi="Palatino Linotype" w:cs="Times New Roman"/>
          <w:i/>
          <w:lang w:val="es-ES_tradnl" w:eastAsia="es-ES"/>
        </w:rPr>
        <w:t>(</w:t>
      </w:r>
      <w:r w:rsidR="00F40842">
        <w:rPr>
          <w:rFonts w:ascii="Palatino Linotype" w:eastAsia="Times New Roman" w:hAnsi="Palatino Linotype" w:cs="Times New Roman"/>
          <w:i/>
          <w:lang w:val="es-ES_tradnl" w:eastAsia="es-ES"/>
        </w:rPr>
        <w:t>s</w:t>
      </w:r>
      <w:r>
        <w:rPr>
          <w:rFonts w:ascii="Palatino Linotype" w:eastAsia="Times New Roman" w:hAnsi="Palatino Linotype" w:cs="Times New Roman"/>
          <w:i/>
          <w:lang w:val="es-ES_tradnl" w:eastAsia="es-ES"/>
        </w:rPr>
        <w:t>ic)</w:t>
      </w:r>
    </w:p>
    <w:p w:rsidR="003C63D5" w:rsidRDefault="003C63D5" w:rsidP="003C63D5">
      <w:pPr>
        <w:spacing w:after="0" w:line="360" w:lineRule="auto"/>
        <w:ind w:right="850"/>
        <w:jc w:val="both"/>
        <w:rPr>
          <w:rFonts w:ascii="Palatino Linotype" w:eastAsia="Times New Roman" w:hAnsi="Palatino Linotype" w:cs="Times New Roman"/>
          <w:sz w:val="24"/>
          <w:szCs w:val="24"/>
          <w:lang w:val="es-ES_tradnl" w:eastAsia="es-ES"/>
        </w:rPr>
      </w:pPr>
    </w:p>
    <w:p w:rsidR="003C63D5" w:rsidRDefault="003C63D5" w:rsidP="003C63D5">
      <w:pPr>
        <w:spacing w:after="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6726E9" w:rsidRDefault="006726E9" w:rsidP="003C63D5">
      <w:pPr>
        <w:spacing w:after="0" w:line="360" w:lineRule="auto"/>
        <w:jc w:val="both"/>
        <w:rPr>
          <w:rFonts w:ascii="Palatino Linotype" w:hAnsi="Palatino Linotype" w:cs="Arial"/>
          <w:sz w:val="24"/>
        </w:rPr>
      </w:pPr>
    </w:p>
    <w:p w:rsidR="00450F1B" w:rsidRDefault="00450F1B" w:rsidP="003C63D5">
      <w:pPr>
        <w:spacing w:after="0" w:line="360" w:lineRule="auto"/>
        <w:jc w:val="both"/>
        <w:rPr>
          <w:rFonts w:ascii="Palatino Linotype" w:hAnsi="Palatino Linotype" w:cs="Arial"/>
          <w:sz w:val="24"/>
        </w:rPr>
      </w:pPr>
    </w:p>
    <w:p w:rsidR="00B31185" w:rsidRPr="00B31185" w:rsidRDefault="00641BDE" w:rsidP="003C63D5">
      <w:pPr>
        <w:spacing w:after="0" w:line="360" w:lineRule="auto"/>
        <w:jc w:val="both"/>
        <w:rPr>
          <w:rFonts w:ascii="Palatino Linotype" w:hAnsi="Palatino Linotype" w:cs="Arial"/>
          <w:b/>
          <w:sz w:val="28"/>
        </w:rPr>
      </w:pPr>
      <w:r>
        <w:rPr>
          <w:rFonts w:ascii="Palatino Linotype" w:hAnsi="Palatino Linotype" w:cs="Arial"/>
          <w:b/>
          <w:sz w:val="28"/>
        </w:rPr>
        <w:lastRenderedPageBreak/>
        <w:t>SEGUNDO</w:t>
      </w:r>
      <w:r w:rsidR="00B31185">
        <w:rPr>
          <w:rFonts w:ascii="Palatino Linotype" w:hAnsi="Palatino Linotype" w:cs="Arial"/>
          <w:b/>
          <w:sz w:val="28"/>
        </w:rPr>
        <w:t>. De la respuesta a la solicitud de información</w:t>
      </w:r>
    </w:p>
    <w:p w:rsidR="003C63D5" w:rsidRDefault="003C63D5" w:rsidP="003C63D5">
      <w:pPr>
        <w:spacing w:after="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Pr="00A77BF1">
        <w:rPr>
          <w:rFonts w:ascii="Palatino Linotype" w:hAnsi="Palatino Linotype" w:cs="Arial"/>
          <w:sz w:val="24"/>
        </w:rPr>
        <w:t xml:space="preserve">, se aprecia que </w:t>
      </w:r>
      <w:r>
        <w:rPr>
          <w:rFonts w:ascii="Palatino Linotype" w:hAnsi="Palatino Linotype" w:cs="Arial"/>
          <w:b/>
          <w:sz w:val="24"/>
        </w:rPr>
        <w:t xml:space="preserve">el sujeto obligado </w:t>
      </w:r>
      <w:r>
        <w:rPr>
          <w:rFonts w:ascii="Palatino Linotype" w:hAnsi="Palatino Linotype" w:cs="Arial"/>
          <w:sz w:val="24"/>
        </w:rPr>
        <w:t>emitió</w:t>
      </w:r>
      <w:r w:rsidRPr="00A77BF1">
        <w:rPr>
          <w:rFonts w:ascii="Palatino Linotype" w:hAnsi="Palatino Linotype" w:cs="Arial"/>
          <w:sz w:val="24"/>
        </w:rPr>
        <w:t xml:space="preserve"> respuest</w:t>
      </w:r>
      <w:r>
        <w:rPr>
          <w:rFonts w:ascii="Palatino Linotype" w:hAnsi="Palatino Linotype" w:cs="Arial"/>
          <w:sz w:val="24"/>
        </w:rPr>
        <w:t xml:space="preserve">a a la solicitud de acceso a la información, en fecha </w:t>
      </w:r>
      <w:r w:rsidR="00277C48">
        <w:rPr>
          <w:rFonts w:ascii="Palatino Linotype" w:hAnsi="Palatino Linotype" w:cs="Arial"/>
          <w:sz w:val="24"/>
        </w:rPr>
        <w:t>diecinueve de septiembre</w:t>
      </w:r>
      <w:r>
        <w:rPr>
          <w:rFonts w:ascii="Palatino Linotype" w:hAnsi="Palatino Linotype" w:cs="Arial"/>
          <w:sz w:val="24"/>
        </w:rPr>
        <w:t xml:space="preserve"> de dos mil dieciocho, en los términos siguientes:</w:t>
      </w:r>
    </w:p>
    <w:p w:rsidR="003C63D5" w:rsidRDefault="003C63D5" w:rsidP="003C63D5">
      <w:pPr>
        <w:spacing w:after="0" w:line="360" w:lineRule="auto"/>
        <w:jc w:val="both"/>
        <w:rPr>
          <w:rFonts w:ascii="Palatino Linotype" w:hAnsi="Palatino Linotype" w:cs="Arial"/>
          <w:sz w:val="24"/>
        </w:rPr>
      </w:pPr>
    </w:p>
    <w:p w:rsidR="00277C48" w:rsidRPr="00277C48" w:rsidRDefault="003C63D5" w:rsidP="00277C48">
      <w:pPr>
        <w:spacing w:before="240" w:after="240" w:line="240" w:lineRule="auto"/>
        <w:ind w:left="567" w:right="567"/>
        <w:jc w:val="both"/>
        <w:rPr>
          <w:rFonts w:ascii="Palatino Linotype" w:hAnsi="Palatino Linotype" w:cs="Arial"/>
          <w:i/>
        </w:rPr>
      </w:pPr>
      <w:r>
        <w:rPr>
          <w:rFonts w:ascii="Palatino Linotype" w:hAnsi="Palatino Linotype" w:cs="Arial"/>
          <w:i/>
        </w:rPr>
        <w:t>“</w:t>
      </w:r>
      <w:r w:rsidR="00277C48" w:rsidRPr="00277C4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77C48" w:rsidRPr="00277C48" w:rsidRDefault="00277C48" w:rsidP="00277C48">
      <w:pPr>
        <w:spacing w:before="240" w:after="240" w:line="240" w:lineRule="auto"/>
        <w:ind w:left="567" w:right="567"/>
        <w:jc w:val="both"/>
        <w:rPr>
          <w:rFonts w:ascii="Palatino Linotype" w:hAnsi="Palatino Linotype" w:cs="Arial"/>
          <w:i/>
        </w:rPr>
      </w:pPr>
      <w:r w:rsidRPr="00277C48">
        <w:rPr>
          <w:rFonts w:ascii="Palatino Linotype" w:hAnsi="Palatino Linotype" w:cs="Arial"/>
          <w:i/>
        </w:rPr>
        <w:t>De conformidad con lo dispuesto en el artículo 163 de la Ley de Transparencia y Acceso a la Información Pública del Estado de México y Municipios, se adjunta un archivo correspondiente al acuerdo de fecha diecinueve de septiembre de dos mil dieciocho, signado por el Titular de la Unidad de Transparencia, la información que fue enviada por el Servidor Público Habilitado y tres convocatorias.</w:t>
      </w:r>
    </w:p>
    <w:p w:rsidR="00277C48" w:rsidRPr="00277C48" w:rsidRDefault="00277C48" w:rsidP="00277C48">
      <w:pPr>
        <w:spacing w:before="240" w:after="240" w:line="240" w:lineRule="auto"/>
        <w:ind w:left="567" w:right="567"/>
        <w:jc w:val="both"/>
        <w:rPr>
          <w:rFonts w:ascii="Palatino Linotype" w:hAnsi="Palatino Linotype" w:cs="Arial"/>
          <w:i/>
        </w:rPr>
      </w:pPr>
      <w:r w:rsidRPr="00277C48">
        <w:rPr>
          <w:rFonts w:ascii="Palatino Linotype" w:hAnsi="Palatino Linotype" w:cs="Arial"/>
          <w:i/>
        </w:rPr>
        <w:t>ATENTAMENTE</w:t>
      </w:r>
    </w:p>
    <w:p w:rsidR="003C63D5" w:rsidRPr="007E05C7" w:rsidRDefault="00277C48" w:rsidP="00277C48">
      <w:pPr>
        <w:spacing w:before="240" w:after="240" w:line="240" w:lineRule="auto"/>
        <w:ind w:left="567" w:right="567"/>
        <w:jc w:val="both"/>
        <w:rPr>
          <w:rFonts w:ascii="Palatino Linotype" w:hAnsi="Palatino Linotype" w:cs="Arial"/>
          <w:i/>
        </w:rPr>
      </w:pPr>
      <w:r w:rsidRPr="00277C48">
        <w:rPr>
          <w:rFonts w:ascii="Palatino Linotype" w:hAnsi="Palatino Linotype" w:cs="Arial"/>
          <w:i/>
        </w:rPr>
        <w:t>Gerardo Alcantara Espinoza</w:t>
      </w:r>
      <w:r w:rsidR="00B31185">
        <w:rPr>
          <w:rFonts w:ascii="Palatino Linotype" w:hAnsi="Palatino Linotype" w:cs="Arial"/>
          <w:i/>
        </w:rPr>
        <w:t>” (sic)</w:t>
      </w:r>
    </w:p>
    <w:p w:rsidR="003C63D5" w:rsidRDefault="003C63D5" w:rsidP="003C63D5">
      <w:pPr>
        <w:spacing w:after="0" w:line="360" w:lineRule="auto"/>
        <w:jc w:val="both"/>
        <w:rPr>
          <w:rFonts w:ascii="Palatino Linotype" w:hAnsi="Palatino Linotype" w:cs="Arial"/>
          <w:sz w:val="24"/>
        </w:rPr>
      </w:pPr>
    </w:p>
    <w:p w:rsidR="003C63D5" w:rsidRPr="000E3055" w:rsidRDefault="00641BDE" w:rsidP="003C63D5">
      <w:pPr>
        <w:spacing w:after="0" w:line="360" w:lineRule="auto"/>
        <w:jc w:val="both"/>
        <w:rPr>
          <w:rFonts w:ascii="Palatino Linotype" w:hAnsi="Palatino Linotype" w:cs="Arial"/>
          <w:sz w:val="24"/>
        </w:rPr>
      </w:pPr>
      <w:r w:rsidRPr="00641BDE">
        <w:rPr>
          <w:rFonts w:ascii="Palatino Linotype" w:hAnsi="Palatino Linotype" w:cs="Arial"/>
          <w:sz w:val="24"/>
        </w:rPr>
        <w:t>Así mismo, adjunta los archivos electrónicos</w:t>
      </w:r>
      <w:r w:rsidR="00277C48">
        <w:rPr>
          <w:rFonts w:ascii="Palatino Linotype" w:hAnsi="Palatino Linotype" w:cs="Arial"/>
          <w:sz w:val="24"/>
        </w:rPr>
        <w:t xml:space="preserve"> denominados</w:t>
      </w:r>
      <w:r w:rsidRPr="00641BDE">
        <w:rPr>
          <w:rFonts w:ascii="Palatino Linotype" w:hAnsi="Palatino Linotype" w:cs="Arial"/>
          <w:sz w:val="24"/>
        </w:rPr>
        <w:t xml:space="preserve"> “</w:t>
      </w:r>
      <w:r w:rsidR="00277C48" w:rsidRPr="00CC2069">
        <w:rPr>
          <w:rFonts w:ascii="Palatino Linotype" w:hAnsi="Palatino Linotype" w:cs="Arial"/>
          <w:b/>
          <w:sz w:val="24"/>
        </w:rPr>
        <w:t>of 1544_00001.pdf</w:t>
      </w:r>
      <w:r w:rsidRPr="00641BDE">
        <w:rPr>
          <w:rFonts w:ascii="Palatino Linotype" w:hAnsi="Palatino Linotype" w:cs="Arial"/>
          <w:sz w:val="24"/>
        </w:rPr>
        <w:t>”</w:t>
      </w:r>
      <w:r w:rsidR="00277C48">
        <w:rPr>
          <w:rFonts w:ascii="Palatino Linotype" w:hAnsi="Palatino Linotype" w:cs="Arial"/>
          <w:sz w:val="24"/>
        </w:rPr>
        <w:t>, “</w:t>
      </w:r>
      <w:r w:rsidR="00277C48" w:rsidRPr="00CC2069">
        <w:rPr>
          <w:rFonts w:ascii="Palatino Linotype" w:hAnsi="Palatino Linotype" w:cs="Arial"/>
          <w:b/>
          <w:sz w:val="24"/>
        </w:rPr>
        <w:t>convocatoria_COPFD-EB.pdf</w:t>
      </w:r>
      <w:r w:rsidR="00277C48">
        <w:rPr>
          <w:rFonts w:ascii="Palatino Linotype" w:hAnsi="Palatino Linotype" w:cs="Arial"/>
          <w:sz w:val="24"/>
        </w:rPr>
        <w:t>”, “</w:t>
      </w:r>
      <w:r w:rsidR="00277C48" w:rsidRPr="00CC2069">
        <w:rPr>
          <w:rFonts w:ascii="Palatino Linotype" w:hAnsi="Palatino Linotype" w:cs="Arial"/>
          <w:b/>
          <w:sz w:val="24"/>
        </w:rPr>
        <w:t>convocatoria_COIEB-18.pdf</w:t>
      </w:r>
      <w:r w:rsidR="00277C48">
        <w:rPr>
          <w:rFonts w:ascii="Palatino Linotype" w:hAnsi="Palatino Linotype" w:cs="Arial"/>
          <w:sz w:val="24"/>
        </w:rPr>
        <w:t>”, “</w:t>
      </w:r>
      <w:r w:rsidR="00277C48" w:rsidRPr="00CC2069">
        <w:rPr>
          <w:rFonts w:ascii="Palatino Linotype" w:hAnsi="Palatino Linotype" w:cs="Arial"/>
          <w:b/>
          <w:sz w:val="24"/>
        </w:rPr>
        <w:t>.6620001.pdf</w:t>
      </w:r>
      <w:r w:rsidR="00277C48">
        <w:rPr>
          <w:rFonts w:ascii="Palatino Linotype" w:hAnsi="Palatino Linotype" w:cs="Arial"/>
          <w:sz w:val="24"/>
        </w:rPr>
        <w:t>”</w:t>
      </w:r>
      <w:r w:rsidRPr="00641BDE">
        <w:rPr>
          <w:rFonts w:ascii="Palatino Linotype" w:hAnsi="Palatino Linotype" w:cs="Arial"/>
          <w:sz w:val="24"/>
        </w:rPr>
        <w:t xml:space="preserve"> y “</w:t>
      </w:r>
      <w:r w:rsidR="00277C48" w:rsidRPr="00CC2069">
        <w:rPr>
          <w:rFonts w:ascii="Palatino Linotype" w:hAnsi="Palatino Linotype" w:cs="Arial"/>
          <w:b/>
          <w:sz w:val="24"/>
        </w:rPr>
        <w:t>convocatoria_COPFS-EB.pdf</w:t>
      </w:r>
      <w:r w:rsidRPr="00641BDE">
        <w:rPr>
          <w:rFonts w:ascii="Palatino Linotype" w:hAnsi="Palatino Linotype" w:cs="Arial"/>
          <w:sz w:val="24"/>
        </w:rPr>
        <w:t xml:space="preserve">”, los cuales no se insertan al ser del conocimiento de las partes, </w:t>
      </w:r>
      <w:r>
        <w:rPr>
          <w:rFonts w:ascii="Palatino Linotype" w:hAnsi="Palatino Linotype" w:cs="Arial"/>
          <w:sz w:val="24"/>
        </w:rPr>
        <w:t>aunado</w:t>
      </w:r>
      <w:r w:rsidRPr="00641BDE">
        <w:rPr>
          <w:rFonts w:ascii="Palatino Linotype" w:hAnsi="Palatino Linotype" w:cs="Arial"/>
          <w:sz w:val="24"/>
        </w:rPr>
        <w:t xml:space="preserve"> a que serán objeto de estudio en el apartado respectivo.</w:t>
      </w:r>
      <w:r w:rsidR="00CC2069">
        <w:rPr>
          <w:rFonts w:ascii="Palatino Linotype" w:hAnsi="Palatino Linotype" w:cs="Arial"/>
          <w:sz w:val="24"/>
        </w:rPr>
        <w:t xml:space="preserve"> </w:t>
      </w:r>
    </w:p>
    <w:p w:rsidR="003C63D5" w:rsidRDefault="003C63D5" w:rsidP="003C63D5">
      <w:pPr>
        <w:spacing w:after="0" w:line="360" w:lineRule="auto"/>
        <w:jc w:val="both"/>
        <w:rPr>
          <w:rFonts w:ascii="Palatino Linotype" w:hAnsi="Palatino Linotype" w:cs="Arial"/>
          <w:b/>
          <w:sz w:val="28"/>
        </w:rPr>
      </w:pPr>
    </w:p>
    <w:p w:rsidR="003C63D5" w:rsidRPr="00441A94" w:rsidRDefault="00641BDE" w:rsidP="003C63D5">
      <w:pPr>
        <w:spacing w:after="0" w:line="360" w:lineRule="auto"/>
        <w:jc w:val="both"/>
        <w:rPr>
          <w:rFonts w:ascii="Palatino Linotype" w:hAnsi="Palatino Linotype" w:cs="Arial"/>
          <w:b/>
          <w:sz w:val="28"/>
        </w:rPr>
      </w:pPr>
      <w:r>
        <w:rPr>
          <w:rFonts w:ascii="Palatino Linotype" w:hAnsi="Palatino Linotype" w:cs="Arial"/>
          <w:b/>
          <w:sz w:val="28"/>
        </w:rPr>
        <w:t>TERCERO</w:t>
      </w:r>
      <w:r w:rsidR="003C63D5" w:rsidRPr="00441A94">
        <w:rPr>
          <w:rFonts w:ascii="Palatino Linotype" w:hAnsi="Palatino Linotype" w:cs="Arial"/>
          <w:b/>
          <w:sz w:val="28"/>
        </w:rPr>
        <w:t xml:space="preserve"> </w:t>
      </w:r>
      <w:r w:rsidR="003C63D5" w:rsidRPr="00441A94">
        <w:rPr>
          <w:rFonts w:ascii="Palatino Linotype" w:hAnsi="Palatino Linotype"/>
          <w:b/>
          <w:sz w:val="28"/>
        </w:rPr>
        <w:t>Del recurso de revisión.</w:t>
      </w:r>
    </w:p>
    <w:p w:rsidR="003C63D5" w:rsidRDefault="003C63D5" w:rsidP="003C63D5">
      <w:pPr>
        <w:spacing w:after="0" w:line="360" w:lineRule="auto"/>
        <w:jc w:val="both"/>
        <w:rPr>
          <w:rFonts w:ascii="Palatino Linotype" w:hAnsi="Palatino Linotype" w:cs="Arial"/>
          <w:sz w:val="24"/>
        </w:rPr>
      </w:pPr>
      <w:r>
        <w:rPr>
          <w:rFonts w:ascii="Palatino Linotype" w:hAnsi="Palatino Linotype" w:cs="Arial"/>
          <w:sz w:val="24"/>
          <w:szCs w:val="24"/>
        </w:rPr>
        <w:t>Inconforme con la respuesta</w:t>
      </w:r>
      <w:r w:rsidRPr="00441A94">
        <w:rPr>
          <w:rFonts w:ascii="Palatino Linotype" w:hAnsi="Palatino Linotype" w:cs="Arial"/>
          <w:sz w:val="24"/>
          <w:szCs w:val="24"/>
        </w:rPr>
        <w:t xml:space="preserve"> </w:t>
      </w:r>
      <w:r>
        <w:rPr>
          <w:rFonts w:ascii="Palatino Linotype" w:hAnsi="Palatino Linotype" w:cs="Arial"/>
          <w:sz w:val="24"/>
          <w:szCs w:val="24"/>
        </w:rPr>
        <w:t>del</w:t>
      </w:r>
      <w:r w:rsidRPr="000F3B82">
        <w:rPr>
          <w:rFonts w:ascii="Palatino Linotype" w:hAnsi="Palatino Linotype" w:cs="Arial"/>
          <w:b/>
          <w:sz w:val="24"/>
          <w:szCs w:val="24"/>
        </w:rPr>
        <w:t xml:space="preserve"> sujeto obligado</w:t>
      </w:r>
      <w:r w:rsidRPr="00441A94">
        <w:rPr>
          <w:rFonts w:ascii="Palatino Linotype" w:hAnsi="Palatino Linotype" w:cs="Arial"/>
          <w:sz w:val="24"/>
          <w:szCs w:val="24"/>
        </w:rPr>
        <w:t xml:space="preserve">, </w:t>
      </w:r>
      <w:r w:rsidR="00277C48">
        <w:rPr>
          <w:rFonts w:ascii="Palatino Linotype" w:hAnsi="Palatino Linotype" w:cs="Arial"/>
          <w:b/>
          <w:sz w:val="24"/>
          <w:szCs w:val="24"/>
        </w:rPr>
        <w:t>la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CC2069">
        <w:rPr>
          <w:rFonts w:ascii="Palatino Linotype" w:hAnsi="Palatino Linotype" w:cs="Arial"/>
          <w:sz w:val="24"/>
          <w:szCs w:val="24"/>
        </w:rPr>
        <w:t>diecinueve de septiembre</w:t>
      </w:r>
      <w:r w:rsidR="00D51D7B">
        <w:rPr>
          <w:rFonts w:ascii="Palatino Linotype" w:hAnsi="Palatino Linotype" w:cs="Arial"/>
          <w:sz w:val="24"/>
          <w:szCs w:val="24"/>
        </w:rPr>
        <w:t xml:space="preserve"> de dos</w:t>
      </w:r>
      <w:r>
        <w:rPr>
          <w:rFonts w:ascii="Palatino Linotype" w:hAnsi="Palatino Linotype" w:cs="Arial"/>
          <w:sz w:val="24"/>
          <w:szCs w:val="24"/>
        </w:rPr>
        <w:t xml:space="preserve"> mil dieciocho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lastRenderedPageBreak/>
        <w:t xml:space="preserve">en el sistema electrónico con el expediente número </w:t>
      </w:r>
      <w:r w:rsidR="00CC2069" w:rsidRPr="00CC2069">
        <w:rPr>
          <w:rFonts w:ascii="Palatino Linotype" w:hAnsi="Palatino Linotype" w:cs="Arial"/>
          <w:b/>
          <w:bCs/>
          <w:sz w:val="24"/>
          <w:szCs w:val="24"/>
          <w:lang w:eastAsia="es-MX"/>
        </w:rPr>
        <w:t>03490/INFOEM/IP/RR/2018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w:t>
      </w:r>
      <w:r>
        <w:rPr>
          <w:rFonts w:ascii="Palatino Linotype" w:hAnsi="Palatino Linotype" w:cs="Arial"/>
          <w:sz w:val="24"/>
        </w:rPr>
        <w:t>o siguiente</w:t>
      </w:r>
      <w:r w:rsidRPr="0096643B">
        <w:rPr>
          <w:rFonts w:ascii="Palatino Linotype" w:hAnsi="Palatino Linotype" w:cs="Arial"/>
          <w:sz w:val="24"/>
        </w:rPr>
        <w:t>:</w:t>
      </w:r>
    </w:p>
    <w:p w:rsidR="003C63D5" w:rsidRDefault="003C63D5" w:rsidP="003C63D5">
      <w:pPr>
        <w:spacing w:after="0" w:line="360" w:lineRule="auto"/>
        <w:jc w:val="both"/>
        <w:rPr>
          <w:rFonts w:ascii="Palatino Linotype" w:hAnsi="Palatino Linotype" w:cs="Arial"/>
          <w:b/>
          <w:sz w:val="24"/>
        </w:rPr>
      </w:pPr>
    </w:p>
    <w:p w:rsidR="003C63D5" w:rsidRDefault="003C63D5" w:rsidP="003C63D5">
      <w:pPr>
        <w:spacing w:after="0" w:line="360" w:lineRule="auto"/>
        <w:jc w:val="both"/>
        <w:rPr>
          <w:rFonts w:ascii="Palatino Linotype" w:hAnsi="Palatino Linotype" w:cs="Arial"/>
          <w:b/>
          <w:sz w:val="24"/>
        </w:rPr>
      </w:pPr>
      <w:r>
        <w:rPr>
          <w:rFonts w:ascii="Palatino Linotype" w:hAnsi="Palatino Linotype" w:cs="Arial"/>
          <w:b/>
          <w:sz w:val="24"/>
        </w:rPr>
        <w:t>Acto Impugnado:</w:t>
      </w:r>
    </w:p>
    <w:p w:rsidR="003C63D5" w:rsidRDefault="003C63D5" w:rsidP="003C63D5">
      <w:pPr>
        <w:spacing w:after="0" w:line="360" w:lineRule="auto"/>
        <w:jc w:val="both"/>
        <w:rPr>
          <w:rFonts w:ascii="Palatino Linotype" w:hAnsi="Palatino Linotype" w:cs="Arial"/>
          <w:b/>
          <w:sz w:val="24"/>
        </w:rPr>
      </w:pPr>
    </w:p>
    <w:p w:rsidR="003C63D5" w:rsidRDefault="003C63D5" w:rsidP="003C63D5">
      <w:pPr>
        <w:spacing w:after="0" w:line="240" w:lineRule="auto"/>
        <w:ind w:left="567" w:right="567"/>
        <w:jc w:val="both"/>
        <w:rPr>
          <w:rFonts w:ascii="Palatino Linotype" w:hAnsi="Palatino Linotype"/>
          <w:i/>
          <w:color w:val="000000"/>
        </w:rPr>
      </w:pPr>
      <w:r w:rsidRPr="00A435E2">
        <w:rPr>
          <w:rFonts w:ascii="Palatino Linotype" w:hAnsi="Palatino Linotype"/>
          <w:i/>
          <w:color w:val="000000"/>
        </w:rPr>
        <w:t>“</w:t>
      </w:r>
      <w:r w:rsidR="00CC2069" w:rsidRPr="00CC2069">
        <w:rPr>
          <w:rFonts w:ascii="Palatino Linotype" w:hAnsi="Palatino Linotype"/>
          <w:i/>
          <w:color w:val="000000"/>
        </w:rPr>
        <w:t>La información entregada no corresponde a la solicitada.</w:t>
      </w:r>
      <w:r w:rsidRPr="00875499">
        <w:rPr>
          <w:rFonts w:ascii="Palatino Linotype" w:hAnsi="Palatino Linotype"/>
          <w:i/>
          <w:color w:val="000000"/>
        </w:rPr>
        <w:t>"</w:t>
      </w:r>
      <w:r>
        <w:rPr>
          <w:rFonts w:ascii="Palatino Linotype" w:hAnsi="Palatino Linotype"/>
          <w:i/>
          <w:color w:val="000000"/>
        </w:rPr>
        <w:t>(sic)</w:t>
      </w:r>
    </w:p>
    <w:p w:rsidR="003C63D5" w:rsidRDefault="003C63D5" w:rsidP="003C63D5">
      <w:pPr>
        <w:spacing w:after="0" w:line="360" w:lineRule="auto"/>
        <w:ind w:left="567" w:right="283"/>
        <w:jc w:val="both"/>
        <w:rPr>
          <w:rFonts w:ascii="Palatino Linotype" w:hAnsi="Palatino Linotype"/>
          <w:i/>
          <w:color w:val="000000"/>
        </w:rPr>
      </w:pPr>
    </w:p>
    <w:p w:rsidR="003C63D5" w:rsidRDefault="003C63D5" w:rsidP="003C63D5">
      <w:pPr>
        <w:spacing w:after="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3C63D5" w:rsidRDefault="003C63D5" w:rsidP="003C63D5">
      <w:pPr>
        <w:spacing w:after="0" w:line="360" w:lineRule="auto"/>
        <w:jc w:val="both"/>
        <w:rPr>
          <w:rFonts w:ascii="Palatino Linotype" w:hAnsi="Palatino Linotype" w:cs="Arial"/>
          <w:sz w:val="24"/>
        </w:rPr>
      </w:pPr>
    </w:p>
    <w:p w:rsidR="003C63D5" w:rsidRDefault="003C63D5" w:rsidP="003C63D5">
      <w:pPr>
        <w:spacing w:after="0" w:line="240" w:lineRule="auto"/>
        <w:ind w:left="567" w:right="567"/>
        <w:jc w:val="both"/>
        <w:rPr>
          <w:rFonts w:ascii="Palatino Linotype" w:hAnsi="Palatino Linotype"/>
          <w:i/>
          <w:color w:val="000000"/>
        </w:rPr>
      </w:pPr>
      <w:r w:rsidRPr="00802232">
        <w:rPr>
          <w:rFonts w:ascii="Palatino Linotype" w:hAnsi="Palatino Linotype"/>
          <w:i/>
          <w:color w:val="000000"/>
        </w:rPr>
        <w:t>“</w:t>
      </w:r>
      <w:r w:rsidR="00CC2069" w:rsidRPr="00CC2069">
        <w:rPr>
          <w:rFonts w:ascii="Palatino Linotype" w:hAnsi="Palatino Linotype"/>
          <w:i/>
          <w:color w:val="000000"/>
        </w:rPr>
        <w:t>El sujeto obligado adjunta convocatorias que en ningún caso corresponden al perfil de trabajador social para ingreso a la educación especial, que aunque no sea figura reconocida por la SEP, sí existe como parte del equipo multidisciplinario en USAER y CAM, por lo que me gustaría conocer el número de vacantes para INTERINATOS de TRABAJO SOCIAL, ya que he acudido de manera presencial a la coordinación y se me ha negado la información, alegando que tengo que acudir a las subdirecciones de cada zona, cuando en años anteriores sí se tenía acceso a dicha información directamente en la coordinación. Además con perfil de Lic. en trabajo social no te permiten hacer el examen de oposición, por lo que conocer las convocatorias que había revisado en los meses pasados me resulta irrelevante y no corresponde a la información que solicite.</w:t>
      </w:r>
      <w:r w:rsidRPr="00802232">
        <w:rPr>
          <w:rFonts w:ascii="Palatino Linotype" w:hAnsi="Palatino Linotype"/>
          <w:i/>
          <w:color w:val="000000"/>
        </w:rPr>
        <w:t>”</w:t>
      </w:r>
      <w:r>
        <w:rPr>
          <w:rFonts w:ascii="Palatino Linotype" w:hAnsi="Palatino Linotype"/>
          <w:i/>
          <w:color w:val="000000"/>
        </w:rPr>
        <w:t xml:space="preserve"> (sic)</w:t>
      </w:r>
    </w:p>
    <w:p w:rsidR="003C63D5" w:rsidRDefault="003C63D5" w:rsidP="003C63D5">
      <w:pPr>
        <w:spacing w:after="0" w:line="360" w:lineRule="auto"/>
        <w:ind w:left="567" w:right="283"/>
        <w:jc w:val="both"/>
        <w:rPr>
          <w:rFonts w:ascii="Palatino Linotype" w:hAnsi="Palatino Linotype"/>
          <w:i/>
          <w:color w:val="000000"/>
        </w:rPr>
      </w:pPr>
    </w:p>
    <w:p w:rsidR="003C63D5" w:rsidRDefault="00641BDE" w:rsidP="003C63D5">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3C63D5" w:rsidRPr="008551ED">
        <w:rPr>
          <w:rFonts w:ascii="Palatino Linotype" w:hAnsi="Palatino Linotype" w:cs="Arial"/>
          <w:b/>
          <w:sz w:val="24"/>
          <w:szCs w:val="24"/>
        </w:rPr>
        <w:t xml:space="preserve">. </w:t>
      </w:r>
      <w:r w:rsidR="003C63D5" w:rsidRPr="0087163A">
        <w:rPr>
          <w:rFonts w:ascii="Palatino Linotype" w:hAnsi="Palatino Linotype" w:cs="Arial"/>
          <w:b/>
          <w:sz w:val="28"/>
          <w:szCs w:val="28"/>
        </w:rPr>
        <w:t>Del turno del recurso de revisión.</w:t>
      </w:r>
    </w:p>
    <w:p w:rsidR="003C63D5" w:rsidRDefault="003C63D5" w:rsidP="003C63D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D46BD">
        <w:rPr>
          <w:rFonts w:ascii="Palatino Linotype" w:hAnsi="Palatino Linotype" w:cs="Arial"/>
          <w:sz w:val="24"/>
          <w:szCs w:val="24"/>
        </w:rPr>
        <w:t>veinticinco de septiembre</w:t>
      </w:r>
      <w:r>
        <w:rPr>
          <w:rFonts w:ascii="Palatino Linotype" w:hAnsi="Palatino Linotype" w:cs="Arial"/>
          <w:sz w:val="24"/>
          <w:szCs w:val="24"/>
        </w:rPr>
        <w:t xml:space="preserve"> de dos mil dieciocho, determinándose en él, un plazo de siete días para que las partes manifestaran lo que a su derecho corresponda en términos del numeral ya citado.</w:t>
      </w:r>
    </w:p>
    <w:p w:rsidR="003C63D5" w:rsidRDefault="003C63D5" w:rsidP="003C63D5">
      <w:pPr>
        <w:spacing w:after="0" w:line="360" w:lineRule="auto"/>
        <w:jc w:val="both"/>
        <w:rPr>
          <w:rFonts w:ascii="Palatino Linotype" w:hAnsi="Palatino Linotype" w:cs="Arial"/>
          <w:b/>
          <w:sz w:val="28"/>
        </w:rPr>
      </w:pPr>
    </w:p>
    <w:p w:rsidR="003C63D5" w:rsidRDefault="00641BDE" w:rsidP="003C63D5">
      <w:pPr>
        <w:spacing w:after="0" w:line="360" w:lineRule="auto"/>
        <w:jc w:val="both"/>
        <w:rPr>
          <w:rFonts w:ascii="Palatino Linotype" w:hAnsi="Palatino Linotype" w:cs="Arial"/>
          <w:b/>
          <w:sz w:val="24"/>
          <w:szCs w:val="24"/>
        </w:rPr>
      </w:pPr>
      <w:r w:rsidRPr="00641BDE">
        <w:rPr>
          <w:rFonts w:ascii="Palatino Linotype" w:hAnsi="Palatino Linotype" w:cs="Arial"/>
          <w:b/>
          <w:sz w:val="28"/>
        </w:rPr>
        <w:lastRenderedPageBreak/>
        <w:t>QUINTO</w:t>
      </w:r>
      <w:r w:rsidR="003C63D5" w:rsidRPr="008551ED">
        <w:rPr>
          <w:rFonts w:ascii="Palatino Linotype" w:hAnsi="Palatino Linotype" w:cs="Arial"/>
          <w:b/>
          <w:sz w:val="24"/>
          <w:szCs w:val="24"/>
        </w:rPr>
        <w:t>.</w:t>
      </w:r>
      <w:r w:rsidR="003C63D5">
        <w:rPr>
          <w:rFonts w:ascii="Palatino Linotype" w:hAnsi="Palatino Linotype" w:cs="Arial"/>
          <w:b/>
          <w:sz w:val="24"/>
          <w:szCs w:val="24"/>
        </w:rPr>
        <w:t xml:space="preserve"> </w:t>
      </w:r>
      <w:r w:rsidR="003C63D5" w:rsidRPr="0087163A">
        <w:rPr>
          <w:rFonts w:ascii="Palatino Linotype" w:hAnsi="Palatino Linotype" w:cs="Arial"/>
          <w:b/>
          <w:sz w:val="28"/>
          <w:szCs w:val="28"/>
        </w:rPr>
        <w:t>De la etapa de instrucción.</w:t>
      </w:r>
    </w:p>
    <w:p w:rsidR="003C63D5" w:rsidRPr="00D51D7B" w:rsidRDefault="003C63D5" w:rsidP="003C63D5">
      <w:pPr>
        <w:spacing w:after="0" w:line="360" w:lineRule="auto"/>
        <w:jc w:val="both"/>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w:t>
      </w:r>
      <w:r w:rsidRPr="00E90B75">
        <w:rPr>
          <w:rFonts w:ascii="Palatino Linotype" w:hAnsi="Palatino Linotype" w:cs="Arial"/>
          <w:b/>
          <w:sz w:val="24"/>
          <w:szCs w:val="24"/>
        </w:rPr>
        <w:t>el</w:t>
      </w:r>
      <w:r>
        <w:rPr>
          <w:rFonts w:ascii="Palatino Linotype" w:hAnsi="Palatino Linotype" w:cs="Arial"/>
          <w:sz w:val="24"/>
          <w:szCs w:val="24"/>
        </w:rPr>
        <w:t xml:space="preserve"> </w:t>
      </w:r>
      <w:r w:rsidRPr="00970FD4">
        <w:rPr>
          <w:rFonts w:ascii="Palatino Linotype" w:hAnsi="Palatino Linotype" w:cs="Arial"/>
          <w:b/>
          <w:sz w:val="24"/>
          <w:szCs w:val="24"/>
        </w:rPr>
        <w:t>sujeto obligado</w:t>
      </w:r>
      <w:r w:rsidR="00D51D7B">
        <w:rPr>
          <w:rFonts w:ascii="Palatino Linotype" w:hAnsi="Palatino Linotype" w:cs="Arial"/>
          <w:sz w:val="24"/>
          <w:szCs w:val="24"/>
        </w:rPr>
        <w:t xml:space="preserve"> </w:t>
      </w:r>
      <w:r w:rsidR="002D1913" w:rsidRPr="002D1913">
        <w:rPr>
          <w:rFonts w:ascii="Palatino Linotype" w:hAnsi="Palatino Linotype" w:cs="Arial"/>
          <w:sz w:val="24"/>
          <w:szCs w:val="24"/>
        </w:rPr>
        <w:t xml:space="preserve">en fecha </w:t>
      </w:r>
      <w:r w:rsidR="00F51C39">
        <w:rPr>
          <w:rFonts w:ascii="Palatino Linotype" w:hAnsi="Palatino Linotype" w:cs="Arial"/>
          <w:sz w:val="24"/>
          <w:szCs w:val="24"/>
        </w:rPr>
        <w:t>cuatro de octubre</w:t>
      </w:r>
      <w:r w:rsidR="002D1913" w:rsidRPr="002D1913">
        <w:rPr>
          <w:rFonts w:ascii="Palatino Linotype" w:hAnsi="Palatino Linotype" w:cs="Arial"/>
          <w:sz w:val="24"/>
          <w:szCs w:val="24"/>
        </w:rPr>
        <w:t xml:space="preserve"> del presente año remitió manifesta</w:t>
      </w:r>
      <w:r w:rsidR="002D1913">
        <w:rPr>
          <w:rFonts w:ascii="Palatino Linotype" w:hAnsi="Palatino Linotype" w:cs="Arial"/>
          <w:sz w:val="24"/>
          <w:szCs w:val="24"/>
        </w:rPr>
        <w:t xml:space="preserve">ciones, mismas que fueron puestas a la vista en fecha </w:t>
      </w:r>
      <w:r w:rsidR="00F51C39">
        <w:rPr>
          <w:rFonts w:ascii="Palatino Linotype" w:hAnsi="Palatino Linotype" w:cs="Arial"/>
          <w:sz w:val="24"/>
          <w:szCs w:val="24"/>
        </w:rPr>
        <w:t>cinco de octubre</w:t>
      </w:r>
      <w:r w:rsidR="002D1913">
        <w:rPr>
          <w:rFonts w:ascii="Palatino Linotype" w:hAnsi="Palatino Linotype" w:cs="Arial"/>
          <w:sz w:val="24"/>
          <w:szCs w:val="24"/>
        </w:rPr>
        <w:t xml:space="preserve"> de dos mil dieciocho</w:t>
      </w:r>
      <w:r w:rsidR="00D51D7B">
        <w:rPr>
          <w:rFonts w:ascii="Palatino Linotype" w:hAnsi="Palatino Linotype" w:cs="Arial"/>
          <w:sz w:val="24"/>
          <w:szCs w:val="24"/>
        </w:rPr>
        <w:t xml:space="preserve">, así mismo se advierte que </w:t>
      </w:r>
      <w:r w:rsidR="00277C48">
        <w:rPr>
          <w:rFonts w:ascii="Palatino Linotype" w:hAnsi="Palatino Linotype" w:cs="Arial"/>
          <w:b/>
          <w:sz w:val="24"/>
          <w:szCs w:val="24"/>
        </w:rPr>
        <w:t>la recurrente</w:t>
      </w:r>
      <w:r w:rsidR="00D51D7B">
        <w:rPr>
          <w:rFonts w:ascii="Palatino Linotype" w:hAnsi="Palatino Linotype" w:cs="Arial"/>
          <w:b/>
          <w:sz w:val="24"/>
          <w:szCs w:val="24"/>
        </w:rPr>
        <w:t xml:space="preserve">, </w:t>
      </w:r>
      <w:r w:rsidR="00F51C39">
        <w:rPr>
          <w:rFonts w:ascii="Palatino Linotype" w:hAnsi="Palatino Linotype" w:cs="Arial"/>
          <w:sz w:val="24"/>
          <w:szCs w:val="24"/>
        </w:rPr>
        <w:t>fue omisa</w:t>
      </w:r>
      <w:r w:rsidR="00D51D7B">
        <w:rPr>
          <w:rFonts w:ascii="Palatino Linotype" w:hAnsi="Palatino Linotype" w:cs="Arial"/>
          <w:sz w:val="24"/>
          <w:szCs w:val="24"/>
        </w:rPr>
        <w:t xml:space="preserve"> en presentar sus manifestaciones y </w:t>
      </w:r>
      <w:r w:rsidR="002D1913">
        <w:rPr>
          <w:rFonts w:ascii="Palatino Linotype" w:hAnsi="Palatino Linotype" w:cs="Arial"/>
          <w:sz w:val="24"/>
          <w:szCs w:val="24"/>
        </w:rPr>
        <w:t>ofrecer</w:t>
      </w:r>
      <w:r w:rsidR="00167191">
        <w:rPr>
          <w:rFonts w:ascii="Palatino Linotype" w:hAnsi="Palatino Linotype" w:cs="Arial"/>
          <w:sz w:val="24"/>
          <w:szCs w:val="24"/>
        </w:rPr>
        <w:t xml:space="preserve"> sus medios de prueba.</w:t>
      </w:r>
    </w:p>
    <w:p w:rsidR="003C63D5" w:rsidRDefault="003C63D5" w:rsidP="003C63D5">
      <w:pPr>
        <w:spacing w:after="0" w:line="360" w:lineRule="auto"/>
        <w:jc w:val="both"/>
        <w:rPr>
          <w:rFonts w:ascii="Palatino Linotype" w:hAnsi="Palatino Linotype" w:cs="Arial"/>
          <w:sz w:val="24"/>
          <w:szCs w:val="24"/>
        </w:rPr>
      </w:pPr>
    </w:p>
    <w:p w:rsidR="003C63D5" w:rsidRDefault="003C63D5" w:rsidP="003C63D5">
      <w:pPr>
        <w:spacing w:after="0" w:line="360" w:lineRule="auto"/>
        <w:jc w:val="both"/>
        <w:rPr>
          <w:rFonts w:ascii="Palatino Linotype" w:hAnsi="Palatino Linotype" w:cs="Arial"/>
          <w:sz w:val="24"/>
          <w:szCs w:val="24"/>
        </w:rPr>
      </w:pPr>
      <w:r w:rsidRPr="007949D1">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w:t>
      </w:r>
      <w:r w:rsidRPr="00E539BA">
        <w:rPr>
          <w:rFonts w:ascii="Palatino Linotype" w:hAnsi="Palatino Linotype" w:cs="Arial"/>
          <w:sz w:val="24"/>
          <w:szCs w:val="24"/>
        </w:rPr>
        <w:t xml:space="preserve">fecha </w:t>
      </w:r>
      <w:r w:rsidR="00F51C39">
        <w:rPr>
          <w:rFonts w:ascii="Palatino Linotype" w:hAnsi="Palatino Linotype" w:cs="Arial"/>
          <w:sz w:val="24"/>
          <w:szCs w:val="24"/>
        </w:rPr>
        <w:t>doce de octubre</w:t>
      </w:r>
      <w:r w:rsidR="00167191">
        <w:rPr>
          <w:rFonts w:ascii="Palatino Linotype" w:hAnsi="Palatino Linotype" w:cs="Arial"/>
          <w:sz w:val="24"/>
          <w:szCs w:val="24"/>
        </w:rPr>
        <w:t xml:space="preserve"> </w:t>
      </w:r>
      <w:r w:rsidRPr="00167191">
        <w:rPr>
          <w:rFonts w:ascii="Palatino Linotype" w:hAnsi="Palatino Linotype" w:cs="Arial"/>
          <w:sz w:val="24"/>
          <w:szCs w:val="24"/>
        </w:rPr>
        <w:t>de dos mil dieciocho</w:t>
      </w:r>
      <w:r w:rsidRPr="007949D1">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w:t>
      </w:r>
      <w:r>
        <w:rPr>
          <w:rFonts w:ascii="Palatino Linotype" w:hAnsi="Palatino Linotype" w:cs="Arial"/>
          <w:sz w:val="24"/>
          <w:szCs w:val="24"/>
        </w:rPr>
        <w:t>olución que en derecho proceda.</w:t>
      </w:r>
    </w:p>
    <w:p w:rsidR="00450F1B" w:rsidRDefault="00450F1B" w:rsidP="003C63D5">
      <w:pPr>
        <w:spacing w:after="0" w:line="360" w:lineRule="auto"/>
        <w:jc w:val="both"/>
        <w:rPr>
          <w:rFonts w:ascii="Palatino Linotype" w:hAnsi="Palatino Linotype" w:cs="Arial"/>
          <w:sz w:val="24"/>
          <w:szCs w:val="24"/>
        </w:rPr>
      </w:pPr>
    </w:p>
    <w:p w:rsidR="00450F1B" w:rsidRPr="00D81530" w:rsidRDefault="00450F1B" w:rsidP="00450F1B">
      <w:pPr>
        <w:spacing w:after="0" w:line="360" w:lineRule="auto"/>
        <w:jc w:val="both"/>
        <w:rPr>
          <w:rFonts w:ascii="Palatino Linotype" w:eastAsia="Calibri" w:hAnsi="Palatino Linotype" w:cs="Arial"/>
          <w:sz w:val="24"/>
          <w:szCs w:val="24"/>
        </w:rPr>
      </w:pPr>
      <w:r>
        <w:rPr>
          <w:rFonts w:ascii="Palatino Linotype" w:eastAsia="Calibri" w:hAnsi="Palatino Linotype" w:cs="Times New Roman"/>
          <w:b/>
          <w:sz w:val="28"/>
          <w:szCs w:val="28"/>
        </w:rPr>
        <w:t>SEXTO</w:t>
      </w:r>
      <w:r w:rsidRPr="00D81530">
        <w:rPr>
          <w:rFonts w:ascii="Palatino Linotype" w:eastAsia="Calibri" w:hAnsi="Palatino Linotype" w:cs="Times New Roman"/>
          <w:b/>
          <w:sz w:val="28"/>
          <w:szCs w:val="28"/>
        </w:rPr>
        <w:t xml:space="preserve">. </w:t>
      </w:r>
      <w:r w:rsidRPr="00DF7342">
        <w:rPr>
          <w:rFonts w:ascii="Palatino Linotype" w:eastAsia="Calibri" w:hAnsi="Palatino Linotype" w:cs="Times New Roman"/>
          <w:b/>
          <w:sz w:val="28"/>
          <w:szCs w:val="28"/>
        </w:rPr>
        <w:t>De la ampliación del término para resolver.</w:t>
      </w:r>
    </w:p>
    <w:p w:rsidR="00450F1B" w:rsidRDefault="00450F1B" w:rsidP="00450F1B">
      <w:pPr>
        <w:spacing w:line="360" w:lineRule="auto"/>
        <w:jc w:val="both"/>
        <w:rPr>
          <w:rFonts w:ascii="Palatino Linotype" w:hAnsi="Palatino Linotype" w:cs="Arial"/>
          <w:sz w:val="24"/>
          <w:szCs w:val="24"/>
        </w:rPr>
      </w:pPr>
      <w:r w:rsidRPr="00982986">
        <w:rPr>
          <w:rFonts w:ascii="Palatino Linotype" w:hAnsi="Palatino Linotype" w:cs="Arial"/>
          <w:sz w:val="24"/>
          <w:szCs w:val="24"/>
        </w:rPr>
        <w:t xml:space="preserve">En fecha </w:t>
      </w:r>
      <w:r>
        <w:rPr>
          <w:rFonts w:ascii="Palatino Linotype" w:hAnsi="Palatino Linotype" w:cs="Arial"/>
          <w:sz w:val="24"/>
          <w:szCs w:val="24"/>
        </w:rPr>
        <w:t>siete de noviembre</w:t>
      </w:r>
      <w:r w:rsidRPr="00982986">
        <w:rPr>
          <w:rFonts w:ascii="Palatino Linotype" w:hAnsi="Palatino Linotype" w:cs="Arial"/>
          <w:sz w:val="24"/>
          <w:szCs w:val="24"/>
        </w:rPr>
        <w:t xml:space="preserve"> de dos mil dieciocho, se amplió el término para resolver el presente recurso de revisión en términos del artículo 181 párrafo tercero de la Ley de Transparencia y Acceso a la Información Pública del Estado de México y Municipios por un plazo de quince días hábiles.</w:t>
      </w:r>
    </w:p>
    <w:p w:rsidR="00450F1B" w:rsidRDefault="00450F1B" w:rsidP="003C63D5">
      <w:pPr>
        <w:spacing w:after="0" w:line="360" w:lineRule="auto"/>
        <w:jc w:val="both"/>
        <w:rPr>
          <w:rFonts w:ascii="Palatino Linotype" w:hAnsi="Palatino Linotype" w:cs="Arial"/>
          <w:sz w:val="24"/>
          <w:szCs w:val="24"/>
        </w:rPr>
      </w:pPr>
    </w:p>
    <w:p w:rsidR="00167191" w:rsidRDefault="00167191" w:rsidP="003C63D5">
      <w:pPr>
        <w:spacing w:after="0" w:line="360" w:lineRule="auto"/>
        <w:jc w:val="both"/>
        <w:rPr>
          <w:rFonts w:ascii="Palatino Linotype" w:hAnsi="Palatino Linotype" w:cs="Arial"/>
          <w:sz w:val="24"/>
          <w:szCs w:val="24"/>
        </w:rPr>
      </w:pPr>
    </w:p>
    <w:p w:rsidR="000B0AB4" w:rsidRPr="00167191" w:rsidRDefault="000B0AB4" w:rsidP="003C63D5">
      <w:pPr>
        <w:spacing w:after="0" w:line="360" w:lineRule="auto"/>
        <w:jc w:val="both"/>
        <w:rPr>
          <w:rFonts w:ascii="Palatino Linotype" w:hAnsi="Palatino Linotype" w:cs="Arial"/>
          <w:sz w:val="24"/>
          <w:szCs w:val="24"/>
        </w:rPr>
      </w:pPr>
    </w:p>
    <w:p w:rsidR="003C63D5" w:rsidRDefault="003C63D5" w:rsidP="003C63D5">
      <w:pPr>
        <w:spacing w:after="0" w:line="360" w:lineRule="auto"/>
        <w:jc w:val="both"/>
        <w:rPr>
          <w:rFonts w:ascii="Palatino Linotype" w:hAnsi="Palatino Linotype" w:cs="Arial"/>
          <w:sz w:val="24"/>
          <w:szCs w:val="24"/>
        </w:rPr>
      </w:pPr>
    </w:p>
    <w:p w:rsidR="003C63D5" w:rsidRDefault="003C63D5" w:rsidP="003C63D5">
      <w:pPr>
        <w:spacing w:after="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rsidR="003C63D5" w:rsidRDefault="003C63D5" w:rsidP="003C63D5">
      <w:pPr>
        <w:spacing w:after="0" w:line="360" w:lineRule="auto"/>
        <w:jc w:val="center"/>
        <w:rPr>
          <w:rFonts w:ascii="Palatino Linotype" w:hAnsi="Palatino Linotype" w:cs="Arial"/>
          <w:b/>
          <w:sz w:val="24"/>
        </w:rPr>
      </w:pPr>
    </w:p>
    <w:p w:rsidR="003C63D5" w:rsidRPr="00911081" w:rsidRDefault="003C63D5" w:rsidP="003C63D5">
      <w:pPr>
        <w:spacing w:after="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3C63D5" w:rsidRDefault="003C63D5" w:rsidP="003C63D5">
      <w:pPr>
        <w:spacing w:after="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277C48">
        <w:rPr>
          <w:rFonts w:ascii="Palatino Linotype" w:hAnsi="Palatino Linotype" w:cs="Arial"/>
          <w:b/>
          <w:sz w:val="24"/>
        </w:rPr>
        <w:t>la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y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3C63D5" w:rsidRDefault="003C63D5" w:rsidP="003C63D5">
      <w:pPr>
        <w:spacing w:after="0" w:line="360" w:lineRule="auto"/>
        <w:jc w:val="both"/>
        <w:rPr>
          <w:rFonts w:ascii="Palatino Linotype" w:hAnsi="Palatino Linotype" w:cs="Arial"/>
          <w:sz w:val="24"/>
        </w:rPr>
      </w:pPr>
    </w:p>
    <w:p w:rsidR="003C63D5" w:rsidRDefault="003C63D5" w:rsidP="003C63D5">
      <w:pPr>
        <w:pStyle w:val="Prrafodelista"/>
        <w:autoSpaceDE w:val="0"/>
        <w:autoSpaceDN w:val="0"/>
        <w:adjustRightInd w:val="0"/>
        <w:spacing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3C63D5" w:rsidRDefault="003C63D5" w:rsidP="003C63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3C63D5" w:rsidRDefault="003C63D5" w:rsidP="003C63D5">
      <w:pPr>
        <w:pStyle w:val="Prrafodelista"/>
        <w:autoSpaceDE w:val="0"/>
        <w:autoSpaceDN w:val="0"/>
        <w:adjustRightInd w:val="0"/>
        <w:spacing w:line="360" w:lineRule="auto"/>
        <w:ind w:left="0"/>
        <w:jc w:val="both"/>
        <w:rPr>
          <w:rFonts w:ascii="Palatino Linotype" w:hAnsi="Palatino Linotype" w:cs="Arial"/>
          <w:b/>
          <w:sz w:val="28"/>
        </w:rPr>
      </w:pPr>
    </w:p>
    <w:p w:rsidR="003C63D5" w:rsidRDefault="003C63D5" w:rsidP="003C63D5">
      <w:pPr>
        <w:spacing w:after="0" w:line="360" w:lineRule="auto"/>
        <w:jc w:val="both"/>
        <w:rPr>
          <w:rFonts w:ascii="Palatino Linotype" w:hAnsi="Palatino Linotype" w:cs="Arial"/>
          <w:b/>
          <w:sz w:val="28"/>
          <w:szCs w:val="28"/>
        </w:rPr>
      </w:pPr>
      <w:r w:rsidRPr="00FD0241">
        <w:rPr>
          <w:rFonts w:ascii="Palatino Linotype" w:hAnsi="Palatino Linotype" w:cs="Arial"/>
          <w:b/>
          <w:sz w:val="28"/>
          <w:szCs w:val="28"/>
        </w:rPr>
        <w:t>TERCERO</w:t>
      </w:r>
      <w:r w:rsidRPr="00EF50CB">
        <w:rPr>
          <w:rFonts w:ascii="Palatino Linotype" w:hAnsi="Palatino Linotype" w:cs="Arial"/>
          <w:b/>
          <w:sz w:val="28"/>
          <w:szCs w:val="28"/>
        </w:rPr>
        <w:t>. Del estudio de las causas de improcedencia y sobreseimiento.</w:t>
      </w:r>
    </w:p>
    <w:p w:rsidR="003C63D5" w:rsidRDefault="003C63D5" w:rsidP="003C63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3C63D5" w:rsidRDefault="003C63D5" w:rsidP="003C63D5">
      <w:pPr>
        <w:pStyle w:val="Prrafodelista"/>
        <w:autoSpaceDE w:val="0"/>
        <w:autoSpaceDN w:val="0"/>
        <w:adjustRightInd w:val="0"/>
        <w:spacing w:line="360" w:lineRule="auto"/>
        <w:ind w:left="0"/>
        <w:jc w:val="both"/>
        <w:rPr>
          <w:rFonts w:ascii="Palatino Linotype" w:hAnsi="Palatino Linotype" w:cs="Arial"/>
        </w:rPr>
      </w:pPr>
    </w:p>
    <w:p w:rsidR="003C63D5" w:rsidRDefault="003C63D5" w:rsidP="003C63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3C63D5" w:rsidRDefault="003C63D5" w:rsidP="003C63D5">
      <w:pPr>
        <w:pStyle w:val="Prrafodelista"/>
        <w:autoSpaceDE w:val="0"/>
        <w:autoSpaceDN w:val="0"/>
        <w:adjustRightInd w:val="0"/>
        <w:spacing w:line="360" w:lineRule="auto"/>
        <w:ind w:left="0"/>
        <w:jc w:val="both"/>
        <w:rPr>
          <w:rFonts w:ascii="Palatino Linotype" w:hAnsi="Palatino Linotype" w:cs="Arial"/>
        </w:rPr>
      </w:pPr>
    </w:p>
    <w:p w:rsidR="003C63D5" w:rsidRDefault="003C63D5" w:rsidP="003C63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BB44A1" w:rsidRDefault="00BB44A1" w:rsidP="003C63D5">
      <w:pPr>
        <w:autoSpaceDE w:val="0"/>
        <w:autoSpaceDN w:val="0"/>
        <w:adjustRightInd w:val="0"/>
        <w:spacing w:after="0" w:line="360" w:lineRule="auto"/>
        <w:jc w:val="both"/>
        <w:rPr>
          <w:rFonts w:ascii="Palatino Linotype" w:hAnsi="Palatino Linotype" w:cs="Arial"/>
          <w:sz w:val="24"/>
          <w:szCs w:val="24"/>
        </w:rPr>
      </w:pPr>
    </w:p>
    <w:p w:rsidR="003C63D5" w:rsidRPr="00AE5B1D" w:rsidRDefault="003C63D5" w:rsidP="003C63D5">
      <w:pPr>
        <w:autoSpaceDE w:val="0"/>
        <w:autoSpaceDN w:val="0"/>
        <w:adjustRightInd w:val="0"/>
        <w:spacing w:after="0" w:line="360" w:lineRule="auto"/>
        <w:jc w:val="both"/>
        <w:rPr>
          <w:rFonts w:ascii="Palatino Linotype" w:hAnsi="Palatino Linotype" w:cs="Arial"/>
          <w:sz w:val="24"/>
          <w:szCs w:val="24"/>
        </w:rPr>
      </w:pPr>
      <w:r w:rsidRPr="00AE5B1D">
        <w:rPr>
          <w:rFonts w:ascii="Palatino Linotype" w:hAnsi="Palatino Linotype" w:cs="Arial"/>
          <w:sz w:val="24"/>
          <w:szCs w:val="24"/>
        </w:rPr>
        <w:t xml:space="preserve">En primer término es necesario hacer alusión a la solicitud de información ya que de ella deriva por un lado al procedimiento de acceso a la información ante </w:t>
      </w:r>
      <w:r w:rsidRPr="005051FB">
        <w:rPr>
          <w:rFonts w:ascii="Palatino Linotype" w:hAnsi="Palatino Linotype" w:cs="Arial"/>
          <w:b/>
          <w:sz w:val="24"/>
          <w:szCs w:val="24"/>
        </w:rPr>
        <w:t>el</w:t>
      </w:r>
      <w:r w:rsidRPr="00AE5B1D">
        <w:rPr>
          <w:rFonts w:ascii="Palatino Linotype" w:hAnsi="Palatino Linotype" w:cs="Arial"/>
          <w:sz w:val="24"/>
          <w:szCs w:val="24"/>
        </w:rPr>
        <w:t xml:space="preserve"> </w:t>
      </w:r>
      <w:r w:rsidRPr="00BB44A1">
        <w:rPr>
          <w:rFonts w:ascii="Palatino Linotype" w:hAnsi="Palatino Linotype" w:cs="Arial"/>
          <w:b/>
          <w:sz w:val="24"/>
          <w:szCs w:val="24"/>
        </w:rPr>
        <w:t>sujeto obligado</w:t>
      </w:r>
      <w:r w:rsidRPr="00AE5B1D">
        <w:rPr>
          <w:rFonts w:ascii="Palatino Linotype" w:hAnsi="Palatino Linotype" w:cs="Arial"/>
          <w:sz w:val="24"/>
          <w:szCs w:val="24"/>
        </w:rPr>
        <w:t xml:space="preserve">,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w:t>
      </w:r>
      <w:r>
        <w:rPr>
          <w:rFonts w:ascii="Palatino Linotype" w:hAnsi="Palatino Linotype" w:cs="Arial"/>
          <w:sz w:val="24"/>
          <w:szCs w:val="24"/>
        </w:rPr>
        <w:t xml:space="preserve">el sujeto obligado </w:t>
      </w:r>
      <w:r w:rsidRPr="00AE5B1D">
        <w:rPr>
          <w:rFonts w:ascii="Palatino Linotype" w:hAnsi="Palatino Linotype" w:cs="Arial"/>
          <w:sz w:val="24"/>
          <w:szCs w:val="24"/>
        </w:rPr>
        <w:t>puede considerar una circunstancia en particular diversa a la que el particular objetivamente requiere.</w:t>
      </w:r>
    </w:p>
    <w:p w:rsidR="003C63D5" w:rsidRPr="00AE5B1D" w:rsidRDefault="003C63D5" w:rsidP="003C63D5">
      <w:pPr>
        <w:autoSpaceDE w:val="0"/>
        <w:autoSpaceDN w:val="0"/>
        <w:adjustRightInd w:val="0"/>
        <w:spacing w:after="0" w:line="360" w:lineRule="auto"/>
        <w:jc w:val="both"/>
        <w:rPr>
          <w:rFonts w:ascii="Palatino Linotype" w:hAnsi="Palatino Linotype" w:cs="Arial"/>
          <w:sz w:val="24"/>
          <w:szCs w:val="24"/>
        </w:rPr>
      </w:pPr>
    </w:p>
    <w:p w:rsidR="003C63D5" w:rsidRDefault="003C63D5" w:rsidP="003C63D5">
      <w:pPr>
        <w:autoSpaceDE w:val="0"/>
        <w:autoSpaceDN w:val="0"/>
        <w:adjustRightInd w:val="0"/>
        <w:spacing w:after="0" w:line="360" w:lineRule="auto"/>
        <w:jc w:val="both"/>
        <w:rPr>
          <w:rFonts w:ascii="Palatino Linotype" w:hAnsi="Palatino Linotype" w:cs="Arial"/>
          <w:sz w:val="24"/>
          <w:szCs w:val="24"/>
        </w:rPr>
      </w:pPr>
      <w:r w:rsidRPr="00AE5B1D">
        <w:rPr>
          <w:rFonts w:ascii="Palatino Linotype" w:hAnsi="Palatino Linotype" w:cs="Arial"/>
          <w:sz w:val="24"/>
          <w:szCs w:val="24"/>
        </w:rPr>
        <w:t>Ya que el planteamiento del problema es de toral importancia, a efecto de determinar la intención o voluntad d</w:t>
      </w:r>
      <w:r w:rsidR="001D18E3">
        <w:rPr>
          <w:rFonts w:ascii="Palatino Linotype" w:hAnsi="Palatino Linotype" w:cs="Arial"/>
          <w:sz w:val="24"/>
          <w:szCs w:val="24"/>
        </w:rPr>
        <w:t xml:space="preserve">e </w:t>
      </w:r>
      <w:r w:rsidR="00277C48" w:rsidRPr="001D18E3">
        <w:rPr>
          <w:rFonts w:ascii="Palatino Linotype" w:hAnsi="Palatino Linotype" w:cs="Arial"/>
          <w:b/>
          <w:sz w:val="24"/>
          <w:szCs w:val="24"/>
        </w:rPr>
        <w:t>la recurrente</w:t>
      </w:r>
      <w:r w:rsidRPr="00CA0481">
        <w:rPr>
          <w:rFonts w:ascii="Palatino Linotype" w:hAnsi="Palatino Linotype" w:cs="Arial"/>
          <w:b/>
          <w:sz w:val="24"/>
          <w:szCs w:val="24"/>
        </w:rPr>
        <w:t xml:space="preserve"> </w:t>
      </w:r>
      <w:r w:rsidRPr="00AE5B1D">
        <w:rPr>
          <w:rFonts w:ascii="Palatino Linotype" w:hAnsi="Palatino Linotype" w:cs="Arial"/>
          <w:sz w:val="24"/>
          <w:szCs w:val="24"/>
        </w:rPr>
        <w:t xml:space="preserve">a la luz de la interpretación de la solicitud de información, y que puede generar de forma objetiva y material </w:t>
      </w:r>
      <w:r w:rsidRPr="005051FB">
        <w:rPr>
          <w:rFonts w:ascii="Palatino Linotype" w:hAnsi="Palatino Linotype" w:cs="Arial"/>
          <w:b/>
          <w:sz w:val="24"/>
          <w:szCs w:val="24"/>
        </w:rPr>
        <w:t>el</w:t>
      </w:r>
      <w:r>
        <w:rPr>
          <w:rFonts w:ascii="Palatino Linotype" w:hAnsi="Palatino Linotype" w:cs="Arial"/>
          <w:sz w:val="24"/>
          <w:szCs w:val="24"/>
        </w:rPr>
        <w:t xml:space="preserve"> </w:t>
      </w:r>
      <w:r w:rsidRPr="00CA0481">
        <w:rPr>
          <w:rFonts w:ascii="Palatino Linotype" w:hAnsi="Palatino Linotype" w:cs="Arial"/>
          <w:b/>
          <w:sz w:val="24"/>
          <w:szCs w:val="24"/>
        </w:rPr>
        <w:t>sujeto obligado</w:t>
      </w:r>
      <w:r>
        <w:rPr>
          <w:rFonts w:ascii="Palatino Linotype" w:hAnsi="Palatino Linotype" w:cs="Arial"/>
          <w:sz w:val="24"/>
          <w:szCs w:val="24"/>
        </w:rPr>
        <w:t xml:space="preserve"> </w:t>
      </w:r>
      <w:r w:rsidRPr="00AE5B1D">
        <w:rPr>
          <w:rFonts w:ascii="Palatino Linotype" w:hAnsi="Palatino Linotype" w:cs="Arial"/>
          <w:sz w:val="24"/>
          <w:szCs w:val="24"/>
        </w:rPr>
        <w:t>que se relacione con esa intención, respecto del presente asunto se realiza a continuación.</w:t>
      </w:r>
    </w:p>
    <w:p w:rsidR="00CA0481" w:rsidRPr="00AE5B1D" w:rsidRDefault="00CA0481" w:rsidP="003C63D5">
      <w:pPr>
        <w:autoSpaceDE w:val="0"/>
        <w:autoSpaceDN w:val="0"/>
        <w:adjustRightInd w:val="0"/>
        <w:spacing w:after="0" w:line="360" w:lineRule="auto"/>
        <w:jc w:val="both"/>
        <w:rPr>
          <w:rFonts w:ascii="Palatino Linotype" w:hAnsi="Palatino Linotype" w:cs="Arial"/>
          <w:sz w:val="24"/>
          <w:szCs w:val="24"/>
        </w:rPr>
      </w:pPr>
    </w:p>
    <w:p w:rsidR="003C63D5" w:rsidRDefault="003C63D5" w:rsidP="003C63D5">
      <w:pPr>
        <w:pStyle w:val="Prrafodelista"/>
        <w:autoSpaceDE w:val="0"/>
        <w:autoSpaceDN w:val="0"/>
        <w:adjustRightInd w:val="0"/>
        <w:spacing w:line="360" w:lineRule="auto"/>
        <w:ind w:left="0"/>
        <w:jc w:val="both"/>
        <w:rPr>
          <w:rFonts w:ascii="Palatino Linotype" w:hAnsi="Palatino Linotype" w:cs="Arial"/>
          <w:b/>
          <w:sz w:val="28"/>
        </w:rPr>
      </w:pPr>
      <w:r w:rsidRPr="001C6C81">
        <w:rPr>
          <w:rFonts w:ascii="Palatino Linotype" w:hAnsi="Palatino Linotype" w:cs="Arial"/>
        </w:rPr>
        <w:t xml:space="preserve">En tal sentido es necesario establecer el tema o materia de estudio que nace a partir del ejercicio del derecho a la información pública, de su interpretación, de lo que contestó </w:t>
      </w:r>
      <w:r w:rsidRPr="005051FB">
        <w:rPr>
          <w:rFonts w:ascii="Palatino Linotype" w:hAnsi="Palatino Linotype" w:cs="Arial"/>
          <w:b/>
        </w:rPr>
        <w:t>el</w:t>
      </w:r>
      <w:r>
        <w:rPr>
          <w:rFonts w:ascii="Palatino Linotype" w:hAnsi="Palatino Linotype" w:cs="Arial"/>
        </w:rPr>
        <w:t xml:space="preserve"> </w:t>
      </w:r>
      <w:r w:rsidRPr="00CA0481">
        <w:rPr>
          <w:rFonts w:ascii="Palatino Linotype" w:hAnsi="Palatino Linotype" w:cs="Arial"/>
          <w:b/>
        </w:rPr>
        <w:t>sujeto obligado</w:t>
      </w:r>
      <w:r>
        <w:rPr>
          <w:rFonts w:ascii="Palatino Linotype" w:hAnsi="Palatino Linotype" w:cs="Arial"/>
        </w:rPr>
        <w:t xml:space="preserve"> </w:t>
      </w:r>
      <w:r w:rsidRPr="001C6C81">
        <w:rPr>
          <w:rFonts w:ascii="Palatino Linotype" w:hAnsi="Palatino Linotype" w:cs="Arial"/>
        </w:rPr>
        <w:t>y del marco normativo que rige el actuar del ente público, así tenemos que se solicitó:</w:t>
      </w:r>
    </w:p>
    <w:p w:rsidR="003C63D5" w:rsidRDefault="003C63D5" w:rsidP="003C63D5">
      <w:pPr>
        <w:pStyle w:val="Prrafodelista"/>
        <w:autoSpaceDE w:val="0"/>
        <w:autoSpaceDN w:val="0"/>
        <w:adjustRightInd w:val="0"/>
        <w:spacing w:line="360" w:lineRule="auto"/>
        <w:ind w:left="0"/>
        <w:jc w:val="both"/>
        <w:rPr>
          <w:rFonts w:ascii="Palatino Linotype" w:hAnsi="Palatino Linotype" w:cs="Arial"/>
          <w:b/>
          <w:sz w:val="28"/>
        </w:rPr>
      </w:pPr>
    </w:p>
    <w:p w:rsidR="005D0FA9" w:rsidRPr="00DE246E" w:rsidRDefault="005D0FA9" w:rsidP="005D0FA9">
      <w:pPr>
        <w:spacing w:after="0" w:line="240" w:lineRule="auto"/>
        <w:ind w:left="567" w:right="567"/>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1D18E3" w:rsidRPr="001D18E3">
        <w:rPr>
          <w:rFonts w:ascii="Palatino Linotype" w:eastAsia="Times New Roman" w:hAnsi="Palatino Linotype" w:cs="Times New Roman"/>
          <w:i/>
          <w:lang w:val="es-ES_tradnl" w:eastAsia="es-ES"/>
        </w:rPr>
        <w:t>Vacantes existentes para trabajadores sociales en la educación especial del Estado de México, así como su ubicación.</w:t>
      </w:r>
      <w:r w:rsidRPr="00DE246E">
        <w:rPr>
          <w:rFonts w:ascii="Palatino Linotype" w:eastAsia="Times New Roman" w:hAnsi="Palatino Linotype" w:cs="Times New Roman"/>
          <w:i/>
          <w:lang w:val="es-ES_tradnl" w:eastAsia="es-ES"/>
        </w:rPr>
        <w:t xml:space="preserve">” </w:t>
      </w:r>
      <w:r>
        <w:rPr>
          <w:rFonts w:ascii="Palatino Linotype" w:eastAsia="Times New Roman" w:hAnsi="Palatino Linotype" w:cs="Times New Roman"/>
          <w:i/>
          <w:lang w:val="es-ES_tradnl" w:eastAsia="es-ES"/>
        </w:rPr>
        <w:t>(sic)</w:t>
      </w:r>
    </w:p>
    <w:p w:rsidR="00994FD3" w:rsidRDefault="00994FD3" w:rsidP="003C63D5">
      <w:pPr>
        <w:pStyle w:val="Prrafodelista"/>
        <w:autoSpaceDE w:val="0"/>
        <w:autoSpaceDN w:val="0"/>
        <w:adjustRightInd w:val="0"/>
        <w:spacing w:line="360" w:lineRule="auto"/>
        <w:ind w:left="0"/>
        <w:jc w:val="both"/>
        <w:rPr>
          <w:rFonts w:ascii="Palatino Linotype" w:hAnsi="Palatino Linotype" w:cs="Arial"/>
        </w:rPr>
      </w:pPr>
    </w:p>
    <w:p w:rsidR="003C63D5" w:rsidRPr="0042466C" w:rsidRDefault="003C63D5" w:rsidP="003C63D5">
      <w:pPr>
        <w:pStyle w:val="Prrafodelista"/>
        <w:autoSpaceDE w:val="0"/>
        <w:autoSpaceDN w:val="0"/>
        <w:adjustRightInd w:val="0"/>
        <w:spacing w:line="360" w:lineRule="auto"/>
        <w:ind w:left="0"/>
        <w:jc w:val="both"/>
        <w:rPr>
          <w:rFonts w:ascii="Palatino Linotype" w:hAnsi="Palatino Linotype" w:cs="Arial"/>
        </w:rPr>
      </w:pPr>
      <w:r w:rsidRPr="0042466C">
        <w:rPr>
          <w:rFonts w:ascii="Palatino Linotype" w:hAnsi="Palatino Linotype" w:cs="Arial"/>
        </w:rPr>
        <w:t>Ahora bien</w:t>
      </w:r>
      <w:r w:rsidRPr="0042466C">
        <w:rPr>
          <w:rFonts w:ascii="Palatino Linotype" w:hAnsi="Palatino Linotype" w:cs="Arial"/>
          <w:b/>
        </w:rPr>
        <w:t xml:space="preserve">, el sujeto obligado </w:t>
      </w:r>
      <w:r w:rsidRPr="0042466C">
        <w:rPr>
          <w:rFonts w:ascii="Palatino Linotype" w:hAnsi="Palatino Linotype" w:cs="Arial"/>
        </w:rPr>
        <w:t xml:space="preserve">en fecha </w:t>
      </w:r>
      <w:r w:rsidR="000F22C3">
        <w:rPr>
          <w:rFonts w:ascii="Palatino Linotype" w:hAnsi="Palatino Linotype" w:cs="Arial"/>
        </w:rPr>
        <w:t>diecinueve de septiembre</w:t>
      </w:r>
      <w:r w:rsidRPr="0042466C">
        <w:rPr>
          <w:rFonts w:ascii="Palatino Linotype" w:hAnsi="Palatino Linotype" w:cs="Arial"/>
        </w:rPr>
        <w:t xml:space="preserve"> de dos mil dieciocho</w:t>
      </w:r>
      <w:r w:rsidR="00342CB9">
        <w:rPr>
          <w:rFonts w:ascii="Palatino Linotype" w:hAnsi="Palatino Linotype" w:cs="Arial"/>
        </w:rPr>
        <w:t xml:space="preserve"> hizo entrega de su respuesta a la</w:t>
      </w:r>
      <w:r w:rsidRPr="0042466C">
        <w:rPr>
          <w:rFonts w:ascii="Palatino Linotype" w:hAnsi="Palatino Linotype" w:cs="Arial"/>
        </w:rPr>
        <w:t xml:space="preserve"> </w:t>
      </w:r>
      <w:r w:rsidRPr="0042466C">
        <w:rPr>
          <w:rFonts w:ascii="Palatino Linotype" w:hAnsi="Palatino Linotype" w:cs="Arial"/>
          <w:b/>
        </w:rPr>
        <w:t xml:space="preserve">recurrente, </w:t>
      </w:r>
      <w:r w:rsidRPr="0042466C">
        <w:rPr>
          <w:rFonts w:ascii="Palatino Linotype" w:hAnsi="Palatino Linotype" w:cs="Arial"/>
        </w:rPr>
        <w:t>cuyo contenido sustancial versa en los términos siguientes:</w:t>
      </w:r>
    </w:p>
    <w:p w:rsidR="003C63D5" w:rsidRPr="0042466C" w:rsidRDefault="003C63D5" w:rsidP="003C63D5">
      <w:pPr>
        <w:pStyle w:val="Prrafodelista"/>
        <w:autoSpaceDE w:val="0"/>
        <w:autoSpaceDN w:val="0"/>
        <w:adjustRightInd w:val="0"/>
        <w:spacing w:line="360" w:lineRule="auto"/>
        <w:ind w:left="0"/>
        <w:jc w:val="both"/>
        <w:rPr>
          <w:rFonts w:ascii="Palatino Linotype" w:hAnsi="Palatino Linotype" w:cs="Arial"/>
          <w:b/>
        </w:rPr>
      </w:pPr>
    </w:p>
    <w:p w:rsidR="003C63D5" w:rsidRPr="004742FA" w:rsidRDefault="00994FD3" w:rsidP="004742FA">
      <w:pPr>
        <w:spacing w:after="0" w:line="240" w:lineRule="auto"/>
        <w:ind w:left="567" w:right="567"/>
        <w:jc w:val="both"/>
        <w:rPr>
          <w:rFonts w:ascii="Palatino Linotype" w:hAnsi="Palatino Linotype" w:cs="Arial"/>
          <w:i/>
        </w:rPr>
      </w:pPr>
      <w:r>
        <w:rPr>
          <w:rFonts w:ascii="Palatino Linotype" w:hAnsi="Palatino Linotype" w:cs="Arial"/>
          <w:i/>
        </w:rPr>
        <w:t>“</w:t>
      </w:r>
      <w:r w:rsidR="000F22C3">
        <w:rPr>
          <w:rFonts w:ascii="Palatino Linotype" w:hAnsi="Palatino Linotype" w:cs="Arial"/>
          <w:i/>
        </w:rPr>
        <w:t>…</w:t>
      </w:r>
      <w:r w:rsidR="000F22C3" w:rsidRPr="000F22C3">
        <w:rPr>
          <w:rFonts w:ascii="Palatino Linotype" w:hAnsi="Palatino Linotype" w:cs="Arial"/>
          <w:i/>
        </w:rPr>
        <w:t>se adjunta un archivo correspondiente al acuerdo de fecha diecinueve de septiembre de dos mil dieciocho, signado por el Titular de la Unidad de Transparencia, la información que fue enviada por el Servidor Público Habilitado y tres convocatorias.</w:t>
      </w:r>
      <w:r>
        <w:rPr>
          <w:rFonts w:ascii="Palatino Linotype" w:hAnsi="Palatino Linotype" w:cs="Arial"/>
          <w:i/>
        </w:rPr>
        <w:t>” (sic)</w:t>
      </w:r>
    </w:p>
    <w:p w:rsidR="004742FA" w:rsidRDefault="004742FA" w:rsidP="003C63D5">
      <w:pPr>
        <w:spacing w:after="0" w:line="360" w:lineRule="auto"/>
        <w:jc w:val="both"/>
        <w:rPr>
          <w:rFonts w:ascii="Palatino Linotype" w:hAnsi="Palatino Linotype" w:cs="Arial"/>
          <w:sz w:val="24"/>
        </w:rPr>
      </w:pPr>
    </w:p>
    <w:p w:rsidR="003C63D5" w:rsidRDefault="003C63D5" w:rsidP="003C63D5">
      <w:pPr>
        <w:spacing w:after="0" w:line="360" w:lineRule="auto"/>
        <w:jc w:val="both"/>
        <w:rPr>
          <w:rFonts w:ascii="Palatino Linotype" w:hAnsi="Palatino Linotype" w:cs="Arial"/>
          <w:sz w:val="24"/>
        </w:rPr>
      </w:pPr>
      <w:r>
        <w:rPr>
          <w:rFonts w:ascii="Palatino Linotype" w:hAnsi="Palatino Linotype" w:cs="Arial"/>
          <w:sz w:val="24"/>
        </w:rPr>
        <w:t xml:space="preserve">Adjuntando a su respuesta </w:t>
      </w:r>
      <w:r w:rsidR="00994FD3">
        <w:rPr>
          <w:rFonts w:ascii="Palatino Linotype" w:hAnsi="Palatino Linotype" w:cs="Arial"/>
          <w:sz w:val="24"/>
        </w:rPr>
        <w:t xml:space="preserve">los archivos electrónicos </w:t>
      </w:r>
      <w:r w:rsidR="00606302" w:rsidRPr="00641BDE">
        <w:rPr>
          <w:rFonts w:ascii="Palatino Linotype" w:hAnsi="Palatino Linotype" w:cs="Arial"/>
          <w:sz w:val="24"/>
        </w:rPr>
        <w:t>“</w:t>
      </w:r>
      <w:r w:rsidR="00606302" w:rsidRPr="00CC2069">
        <w:rPr>
          <w:rFonts w:ascii="Palatino Linotype" w:hAnsi="Palatino Linotype" w:cs="Arial"/>
          <w:b/>
          <w:sz w:val="24"/>
        </w:rPr>
        <w:t>of 1544_00001.pdf</w:t>
      </w:r>
      <w:r w:rsidR="00606302" w:rsidRPr="00641BDE">
        <w:rPr>
          <w:rFonts w:ascii="Palatino Linotype" w:hAnsi="Palatino Linotype" w:cs="Arial"/>
          <w:sz w:val="24"/>
        </w:rPr>
        <w:t>”</w:t>
      </w:r>
      <w:r w:rsidR="00606302">
        <w:rPr>
          <w:rFonts w:ascii="Palatino Linotype" w:hAnsi="Palatino Linotype" w:cs="Arial"/>
          <w:sz w:val="24"/>
        </w:rPr>
        <w:t>, “</w:t>
      </w:r>
      <w:r w:rsidR="00606302" w:rsidRPr="00CC2069">
        <w:rPr>
          <w:rFonts w:ascii="Palatino Linotype" w:hAnsi="Palatino Linotype" w:cs="Arial"/>
          <w:b/>
          <w:sz w:val="24"/>
        </w:rPr>
        <w:t>convocatoria_COPFD-EB.pdf</w:t>
      </w:r>
      <w:r w:rsidR="00606302">
        <w:rPr>
          <w:rFonts w:ascii="Palatino Linotype" w:hAnsi="Palatino Linotype" w:cs="Arial"/>
          <w:sz w:val="24"/>
        </w:rPr>
        <w:t>”, “</w:t>
      </w:r>
      <w:r w:rsidR="00606302" w:rsidRPr="00CC2069">
        <w:rPr>
          <w:rFonts w:ascii="Palatino Linotype" w:hAnsi="Palatino Linotype" w:cs="Arial"/>
          <w:b/>
          <w:sz w:val="24"/>
        </w:rPr>
        <w:t>convocatoria_COIEB-18.pdf</w:t>
      </w:r>
      <w:r w:rsidR="00606302">
        <w:rPr>
          <w:rFonts w:ascii="Palatino Linotype" w:hAnsi="Palatino Linotype" w:cs="Arial"/>
          <w:sz w:val="24"/>
        </w:rPr>
        <w:t>”, “</w:t>
      </w:r>
      <w:r w:rsidR="00606302" w:rsidRPr="00CC2069">
        <w:rPr>
          <w:rFonts w:ascii="Palatino Linotype" w:hAnsi="Palatino Linotype" w:cs="Arial"/>
          <w:b/>
          <w:sz w:val="24"/>
        </w:rPr>
        <w:t>.6620001.pdf</w:t>
      </w:r>
      <w:r w:rsidR="00606302">
        <w:rPr>
          <w:rFonts w:ascii="Palatino Linotype" w:hAnsi="Palatino Linotype" w:cs="Arial"/>
          <w:sz w:val="24"/>
        </w:rPr>
        <w:t>”</w:t>
      </w:r>
      <w:r w:rsidR="00606302" w:rsidRPr="00641BDE">
        <w:rPr>
          <w:rFonts w:ascii="Palatino Linotype" w:hAnsi="Palatino Linotype" w:cs="Arial"/>
          <w:sz w:val="24"/>
        </w:rPr>
        <w:t xml:space="preserve"> y “</w:t>
      </w:r>
      <w:r w:rsidR="00606302" w:rsidRPr="00CC2069">
        <w:rPr>
          <w:rFonts w:ascii="Palatino Linotype" w:hAnsi="Palatino Linotype" w:cs="Arial"/>
          <w:b/>
          <w:sz w:val="24"/>
        </w:rPr>
        <w:t>convocatoria_COPFS-EB.pdf</w:t>
      </w:r>
      <w:r w:rsidR="00606302" w:rsidRPr="00641BDE">
        <w:rPr>
          <w:rFonts w:ascii="Palatino Linotype" w:hAnsi="Palatino Linotype" w:cs="Arial"/>
          <w:sz w:val="24"/>
        </w:rPr>
        <w:t>”</w:t>
      </w:r>
      <w:r w:rsidR="00994FD3">
        <w:rPr>
          <w:rFonts w:ascii="Palatino Linotype" w:hAnsi="Palatino Linotype" w:cs="Arial"/>
          <w:sz w:val="24"/>
        </w:rPr>
        <w:t xml:space="preserve">, </w:t>
      </w:r>
      <w:r>
        <w:rPr>
          <w:rFonts w:ascii="Palatino Linotype" w:hAnsi="Palatino Linotype" w:cs="Arial"/>
          <w:sz w:val="24"/>
        </w:rPr>
        <w:t>l</w:t>
      </w:r>
      <w:r w:rsidR="00994FD3">
        <w:rPr>
          <w:rFonts w:ascii="Palatino Linotype" w:hAnsi="Palatino Linotype" w:cs="Arial"/>
          <w:sz w:val="24"/>
        </w:rPr>
        <w:t>os</w:t>
      </w:r>
      <w:r>
        <w:rPr>
          <w:rFonts w:ascii="Palatino Linotype" w:hAnsi="Palatino Linotype" w:cs="Arial"/>
          <w:sz w:val="24"/>
        </w:rPr>
        <w:t xml:space="preserve"> cual</w:t>
      </w:r>
      <w:r w:rsidR="00994FD3">
        <w:rPr>
          <w:rFonts w:ascii="Palatino Linotype" w:hAnsi="Palatino Linotype" w:cs="Arial"/>
          <w:sz w:val="24"/>
        </w:rPr>
        <w:t>es</w:t>
      </w:r>
      <w:r>
        <w:rPr>
          <w:rFonts w:ascii="Palatino Linotype" w:hAnsi="Palatino Linotype" w:cs="Arial"/>
          <w:sz w:val="24"/>
        </w:rPr>
        <w:t xml:space="preserve"> contiene</w:t>
      </w:r>
      <w:r w:rsidR="00994FD3">
        <w:rPr>
          <w:rFonts w:ascii="Palatino Linotype" w:hAnsi="Palatino Linotype" w:cs="Arial"/>
          <w:sz w:val="24"/>
        </w:rPr>
        <w:t>n</w:t>
      </w:r>
      <w:r>
        <w:rPr>
          <w:rFonts w:ascii="Palatino Linotype" w:hAnsi="Palatino Linotype" w:cs="Arial"/>
          <w:sz w:val="24"/>
        </w:rPr>
        <w:t xml:space="preserve"> lo siguiente:</w:t>
      </w:r>
    </w:p>
    <w:p w:rsidR="00266D4B" w:rsidRDefault="00266D4B" w:rsidP="003C63D5">
      <w:pPr>
        <w:spacing w:after="0" w:line="360" w:lineRule="auto"/>
        <w:jc w:val="both"/>
        <w:rPr>
          <w:rFonts w:ascii="Palatino Linotype" w:hAnsi="Palatino Linotype" w:cs="Arial"/>
          <w:sz w:val="24"/>
        </w:rPr>
      </w:pPr>
    </w:p>
    <w:p w:rsidR="003C63D5" w:rsidRPr="005334A6" w:rsidRDefault="0057409A" w:rsidP="0057409A">
      <w:pPr>
        <w:pStyle w:val="Prrafodelista"/>
        <w:numPr>
          <w:ilvl w:val="0"/>
          <w:numId w:val="4"/>
        </w:numPr>
        <w:spacing w:line="360" w:lineRule="auto"/>
        <w:jc w:val="both"/>
        <w:rPr>
          <w:rFonts w:ascii="Palatino Linotype" w:hAnsi="Palatino Linotype" w:cs="Arial"/>
          <w:bCs/>
        </w:rPr>
      </w:pPr>
      <w:r w:rsidRPr="0057409A">
        <w:rPr>
          <w:rFonts w:ascii="Palatino Linotype" w:hAnsi="Palatino Linotype" w:cs="Arial"/>
          <w:b/>
        </w:rPr>
        <w:t>of 1544_00001.pdf</w:t>
      </w:r>
      <w:r w:rsidR="00266D4B">
        <w:rPr>
          <w:rFonts w:ascii="Palatino Linotype" w:hAnsi="Palatino Linotype" w:cs="Arial"/>
        </w:rPr>
        <w:t xml:space="preserve">, consistente en el oficio </w:t>
      </w:r>
      <w:r>
        <w:rPr>
          <w:rFonts w:ascii="Palatino Linotype" w:hAnsi="Palatino Linotype" w:cs="Arial"/>
        </w:rPr>
        <w:t>No. 205CE13000/1544/2018 de fecha</w:t>
      </w:r>
      <w:r w:rsidR="00266D4B">
        <w:rPr>
          <w:rFonts w:ascii="Palatino Linotype" w:hAnsi="Palatino Linotype" w:cs="Arial"/>
        </w:rPr>
        <w:t xml:space="preserve"> </w:t>
      </w:r>
      <w:r>
        <w:rPr>
          <w:rFonts w:ascii="Palatino Linotype" w:hAnsi="Palatino Linotype" w:cs="Arial"/>
        </w:rPr>
        <w:t>dieciocho de septiembre</w:t>
      </w:r>
      <w:r w:rsidR="00266D4B">
        <w:rPr>
          <w:rFonts w:ascii="Palatino Linotype" w:hAnsi="Palatino Linotype" w:cs="Arial"/>
        </w:rPr>
        <w:t xml:space="preserve"> de dos mil dieciocho, por el cual </w:t>
      </w:r>
      <w:r w:rsidR="00266D4B" w:rsidRPr="00992876">
        <w:rPr>
          <w:rFonts w:ascii="Palatino Linotype" w:hAnsi="Palatino Linotype" w:cs="Arial"/>
          <w:b/>
        </w:rPr>
        <w:t>el sujeto obligado</w:t>
      </w:r>
      <w:r w:rsidR="00266D4B">
        <w:rPr>
          <w:rFonts w:ascii="Palatino Linotype" w:hAnsi="Palatino Linotype" w:cs="Arial"/>
        </w:rPr>
        <w:t xml:space="preserve"> informa al </w:t>
      </w:r>
      <w:r w:rsidRPr="0057409A">
        <w:rPr>
          <w:rFonts w:ascii="Palatino Linotype" w:hAnsi="Palatino Linotype" w:cs="Arial"/>
        </w:rPr>
        <w:t>entonces solicitante</w:t>
      </w:r>
      <w:r w:rsidR="00266D4B">
        <w:rPr>
          <w:rFonts w:ascii="Palatino Linotype" w:hAnsi="Palatino Linotype" w:cs="Arial"/>
          <w:b/>
        </w:rPr>
        <w:t xml:space="preserve">, </w:t>
      </w:r>
      <w:r>
        <w:rPr>
          <w:rFonts w:ascii="Palatino Linotype" w:hAnsi="Palatino Linotype" w:cs="Arial"/>
        </w:rPr>
        <w:t xml:space="preserve">que los procesos de Ingreso y Promoción en Educación Básica, contemplan las categorías de Docente, Directivo y Supervisor </w:t>
      </w:r>
      <w:r>
        <w:rPr>
          <w:rFonts w:ascii="Palatino Linotype" w:hAnsi="Palatino Linotype" w:cs="Arial"/>
        </w:rPr>
        <w:lastRenderedPageBreak/>
        <w:t>en Educación Especial</w:t>
      </w:r>
      <w:r w:rsidR="005334A6">
        <w:rPr>
          <w:rFonts w:ascii="Palatino Linotype" w:hAnsi="Palatino Linotype" w:cs="Arial"/>
        </w:rPr>
        <w:t>,</w:t>
      </w:r>
      <w:r>
        <w:rPr>
          <w:rFonts w:ascii="Palatino Linotype" w:hAnsi="Palatino Linotype" w:cs="Arial"/>
        </w:rPr>
        <w:t xml:space="preserve"> asimismo, para el caso de la categoría “Docente”, consideran las asignaturas</w:t>
      </w:r>
      <w:r w:rsidR="005334A6">
        <w:rPr>
          <w:rFonts w:ascii="Palatino Linotype" w:hAnsi="Palatino Linotype" w:cs="Arial"/>
        </w:rPr>
        <w:t xml:space="preserve"> especiales siguientes:</w:t>
      </w:r>
    </w:p>
    <w:p w:rsidR="005334A6" w:rsidRPr="005334A6" w:rsidRDefault="005334A6" w:rsidP="00F0481E">
      <w:pPr>
        <w:pStyle w:val="Prrafodelista"/>
        <w:numPr>
          <w:ilvl w:val="1"/>
          <w:numId w:val="4"/>
        </w:numPr>
        <w:spacing w:line="276" w:lineRule="auto"/>
        <w:jc w:val="both"/>
        <w:rPr>
          <w:rFonts w:ascii="Palatino Linotype" w:hAnsi="Palatino Linotype" w:cs="Arial"/>
          <w:bCs/>
        </w:rPr>
      </w:pPr>
      <w:r w:rsidRPr="005334A6">
        <w:rPr>
          <w:rFonts w:ascii="Palatino Linotype" w:hAnsi="Palatino Linotype" w:cs="Arial"/>
        </w:rPr>
        <w:t>especial</w:t>
      </w:r>
    </w:p>
    <w:p w:rsidR="005334A6" w:rsidRPr="005334A6" w:rsidRDefault="005334A6" w:rsidP="00F0481E">
      <w:pPr>
        <w:pStyle w:val="Prrafodelista"/>
        <w:numPr>
          <w:ilvl w:val="1"/>
          <w:numId w:val="4"/>
        </w:numPr>
        <w:spacing w:line="276" w:lineRule="auto"/>
        <w:jc w:val="both"/>
        <w:rPr>
          <w:rFonts w:ascii="Palatino Linotype" w:hAnsi="Palatino Linotype" w:cs="Arial"/>
          <w:bCs/>
        </w:rPr>
      </w:pPr>
      <w:r w:rsidRPr="005334A6">
        <w:rPr>
          <w:rFonts w:ascii="Palatino Linotype" w:hAnsi="Palatino Linotype" w:cs="Arial"/>
        </w:rPr>
        <w:t>auditiva y lenguaje</w:t>
      </w:r>
    </w:p>
    <w:p w:rsidR="005334A6" w:rsidRPr="005334A6" w:rsidRDefault="005334A6" w:rsidP="00F0481E">
      <w:pPr>
        <w:pStyle w:val="Prrafodelista"/>
        <w:numPr>
          <w:ilvl w:val="1"/>
          <w:numId w:val="4"/>
        </w:numPr>
        <w:spacing w:line="276" w:lineRule="auto"/>
        <w:jc w:val="both"/>
        <w:rPr>
          <w:rFonts w:ascii="Palatino Linotype" w:hAnsi="Palatino Linotype" w:cs="Arial"/>
          <w:bCs/>
        </w:rPr>
      </w:pPr>
      <w:r w:rsidRPr="005334A6">
        <w:rPr>
          <w:rFonts w:ascii="Palatino Linotype" w:hAnsi="Palatino Linotype" w:cs="Arial"/>
        </w:rPr>
        <w:t>visual</w:t>
      </w:r>
    </w:p>
    <w:p w:rsidR="005334A6" w:rsidRPr="005334A6" w:rsidRDefault="005334A6" w:rsidP="00F0481E">
      <w:pPr>
        <w:pStyle w:val="Prrafodelista"/>
        <w:numPr>
          <w:ilvl w:val="1"/>
          <w:numId w:val="4"/>
        </w:numPr>
        <w:spacing w:line="276" w:lineRule="auto"/>
        <w:jc w:val="both"/>
        <w:rPr>
          <w:rFonts w:ascii="Palatino Linotype" w:hAnsi="Palatino Linotype" w:cs="Arial"/>
          <w:bCs/>
        </w:rPr>
      </w:pPr>
      <w:r w:rsidRPr="005334A6">
        <w:rPr>
          <w:rFonts w:ascii="Palatino Linotype" w:hAnsi="Palatino Linotype" w:cs="Arial"/>
        </w:rPr>
        <w:t>motriz</w:t>
      </w:r>
    </w:p>
    <w:p w:rsidR="005334A6" w:rsidRPr="005334A6" w:rsidRDefault="005334A6" w:rsidP="00F0481E">
      <w:pPr>
        <w:pStyle w:val="Prrafodelista"/>
        <w:numPr>
          <w:ilvl w:val="1"/>
          <w:numId w:val="4"/>
        </w:numPr>
        <w:spacing w:after="240" w:line="276" w:lineRule="auto"/>
        <w:ind w:left="1434" w:hanging="357"/>
        <w:jc w:val="both"/>
        <w:rPr>
          <w:rFonts w:ascii="Palatino Linotype" w:hAnsi="Palatino Linotype" w:cs="Arial"/>
          <w:bCs/>
        </w:rPr>
      </w:pPr>
      <w:r w:rsidRPr="005334A6">
        <w:rPr>
          <w:rFonts w:ascii="Palatino Linotype" w:hAnsi="Palatino Linotype" w:cs="Arial"/>
        </w:rPr>
        <w:t>intelectual</w:t>
      </w:r>
    </w:p>
    <w:p w:rsidR="00266D4B" w:rsidRDefault="005334A6" w:rsidP="0056429C">
      <w:pPr>
        <w:pStyle w:val="Prrafodelista"/>
        <w:spacing w:line="360" w:lineRule="auto"/>
        <w:ind w:left="720"/>
        <w:jc w:val="both"/>
        <w:rPr>
          <w:rFonts w:ascii="Palatino Linotype" w:hAnsi="Palatino Linotype" w:cs="Arial"/>
          <w:bCs/>
        </w:rPr>
      </w:pPr>
      <w:r>
        <w:rPr>
          <w:rFonts w:ascii="Palatino Linotype" w:hAnsi="Palatino Linotype" w:cs="Arial"/>
          <w:bCs/>
        </w:rPr>
        <w:t>De igual forma, manifiesta que dicha información puede ser consultada a través de ligas web remitidas, donde podrá informarse de las convocatorias vigentes, como se puede apreciar de la imagen que se inserta a continuación:</w:t>
      </w:r>
    </w:p>
    <w:p w:rsidR="00F0481E" w:rsidRPr="00266D4B" w:rsidRDefault="00F0481E" w:rsidP="0056429C">
      <w:pPr>
        <w:pStyle w:val="Prrafodelista"/>
        <w:spacing w:line="360" w:lineRule="auto"/>
        <w:ind w:left="720"/>
        <w:jc w:val="both"/>
        <w:rPr>
          <w:rFonts w:ascii="Palatino Linotype" w:hAnsi="Palatino Linotype" w:cs="Arial"/>
          <w:bCs/>
        </w:rPr>
      </w:pPr>
      <w:r>
        <w:rPr>
          <w:rFonts w:ascii="Palatino Linotype" w:hAnsi="Palatino Linotype" w:cs="Arial"/>
          <w:bCs/>
          <w:noProof/>
          <w:lang w:val="es-MX" w:eastAsia="es-MX"/>
        </w:rPr>
        <w:drawing>
          <wp:inline distT="0" distB="0" distL="0" distR="0">
            <wp:extent cx="5232400" cy="1416920"/>
            <wp:effectExtent l="190500" t="190500" r="196850" b="1835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676" cy="1422140"/>
                    </a:xfrm>
                    <a:prstGeom prst="rect">
                      <a:avLst/>
                    </a:prstGeom>
                    <a:noFill/>
                    <a:ln>
                      <a:noFill/>
                    </a:ln>
                    <a:effectLst>
                      <a:outerShdw blurRad="190500" algn="ctr" rotWithShape="0">
                        <a:prstClr val="black">
                          <a:alpha val="70000"/>
                        </a:prstClr>
                      </a:outerShdw>
                    </a:effectLst>
                  </pic:spPr>
                </pic:pic>
              </a:graphicData>
            </a:graphic>
          </wp:inline>
        </w:drawing>
      </w:r>
    </w:p>
    <w:p w:rsidR="00694674" w:rsidRPr="00E06DB5" w:rsidRDefault="00F0481E" w:rsidP="00E06DB5">
      <w:pPr>
        <w:pStyle w:val="Prrafodelista"/>
        <w:numPr>
          <w:ilvl w:val="0"/>
          <w:numId w:val="4"/>
        </w:numPr>
        <w:spacing w:after="240" w:line="360" w:lineRule="auto"/>
        <w:ind w:left="714" w:hanging="357"/>
        <w:jc w:val="both"/>
        <w:rPr>
          <w:rFonts w:ascii="Palatino Linotype" w:hAnsi="Palatino Linotype" w:cs="Arial"/>
          <w:bCs/>
        </w:rPr>
      </w:pPr>
      <w:r w:rsidRPr="00F0481E">
        <w:rPr>
          <w:rFonts w:ascii="Palatino Linotype" w:hAnsi="Palatino Linotype" w:cs="Arial"/>
          <w:b/>
        </w:rPr>
        <w:t>convocatoria_COPFD-EB.pdf</w:t>
      </w:r>
      <w:r w:rsidR="00994FD3">
        <w:rPr>
          <w:rFonts w:ascii="Palatino Linotype" w:hAnsi="Palatino Linotype" w:cs="Arial"/>
        </w:rPr>
        <w:t xml:space="preserve">, </w:t>
      </w:r>
      <w:r w:rsidR="0056429C">
        <w:rPr>
          <w:rFonts w:ascii="Palatino Linotype" w:hAnsi="Palatino Linotype" w:cs="Arial"/>
        </w:rPr>
        <w:t xml:space="preserve">archivo electrónico que contiene la convocatoria al Concurso de Oposición para la Promoción </w:t>
      </w:r>
      <w:r w:rsidR="00E06DB5">
        <w:rPr>
          <w:rFonts w:ascii="Palatino Linotype" w:hAnsi="Palatino Linotype" w:cs="Arial"/>
        </w:rPr>
        <w:t>a Categorías con Funciones de Dirección en Educación Básica 2018-2019, en el cual, de manera sustancial se desprende la información que se observa en las siguientes imágenes:</w:t>
      </w:r>
    </w:p>
    <w:p w:rsidR="00E06DB5" w:rsidRDefault="00E06DB5" w:rsidP="00E06DB5">
      <w:pPr>
        <w:spacing w:line="360" w:lineRule="auto"/>
        <w:jc w:val="both"/>
        <w:rPr>
          <w:rFonts w:ascii="Palatino Linotype" w:hAnsi="Palatino Linotype" w:cs="Arial"/>
          <w:bCs/>
        </w:rPr>
      </w:pPr>
      <w:r>
        <w:rPr>
          <w:rFonts w:ascii="Palatino Linotype" w:hAnsi="Palatino Linotype" w:cs="Arial"/>
          <w:bCs/>
          <w:noProof/>
          <w:lang w:eastAsia="es-MX"/>
        </w:rPr>
        <w:drawing>
          <wp:inline distT="0" distB="0" distL="0" distR="0">
            <wp:extent cx="5757545" cy="12700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545" cy="1270000"/>
                    </a:xfrm>
                    <a:prstGeom prst="rect">
                      <a:avLst/>
                    </a:prstGeom>
                    <a:noFill/>
                    <a:ln>
                      <a:noFill/>
                    </a:ln>
                  </pic:spPr>
                </pic:pic>
              </a:graphicData>
            </a:graphic>
          </wp:inline>
        </w:drawing>
      </w:r>
    </w:p>
    <w:p w:rsidR="00E06DB5" w:rsidRDefault="00E06DB5" w:rsidP="00E06DB5">
      <w:pPr>
        <w:spacing w:line="360" w:lineRule="auto"/>
        <w:jc w:val="both"/>
        <w:rPr>
          <w:rFonts w:ascii="Palatino Linotype" w:hAnsi="Palatino Linotype" w:cs="Arial"/>
          <w:bCs/>
        </w:rPr>
      </w:pPr>
      <w:r>
        <w:rPr>
          <w:rFonts w:ascii="Palatino Linotype" w:hAnsi="Palatino Linotype" w:cs="Arial"/>
          <w:bCs/>
          <w:noProof/>
          <w:lang w:eastAsia="es-MX"/>
        </w:rPr>
        <w:lastRenderedPageBreak/>
        <w:drawing>
          <wp:inline distT="0" distB="0" distL="0" distR="0">
            <wp:extent cx="5757545" cy="762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762000"/>
                    </a:xfrm>
                    <a:prstGeom prst="rect">
                      <a:avLst/>
                    </a:prstGeom>
                    <a:noFill/>
                    <a:ln>
                      <a:noFill/>
                    </a:ln>
                  </pic:spPr>
                </pic:pic>
              </a:graphicData>
            </a:graphic>
          </wp:inline>
        </w:drawing>
      </w:r>
    </w:p>
    <w:p w:rsidR="00E06DB5" w:rsidRPr="00E06DB5" w:rsidRDefault="00E06DB5" w:rsidP="00E06DB5">
      <w:pPr>
        <w:spacing w:line="360" w:lineRule="auto"/>
        <w:jc w:val="both"/>
        <w:rPr>
          <w:rFonts w:ascii="Palatino Linotype" w:hAnsi="Palatino Linotype" w:cs="Arial"/>
          <w:bCs/>
        </w:rPr>
      </w:pPr>
    </w:p>
    <w:p w:rsidR="0056429C" w:rsidRPr="0093232B" w:rsidRDefault="00E06DB5" w:rsidP="00E06DB5">
      <w:pPr>
        <w:pStyle w:val="Prrafodelista"/>
        <w:numPr>
          <w:ilvl w:val="0"/>
          <w:numId w:val="4"/>
        </w:numPr>
        <w:spacing w:line="360" w:lineRule="auto"/>
        <w:jc w:val="both"/>
        <w:rPr>
          <w:rFonts w:ascii="Palatino Linotype" w:hAnsi="Palatino Linotype" w:cs="Arial"/>
          <w:b/>
          <w:bCs/>
        </w:rPr>
      </w:pPr>
      <w:r w:rsidRPr="00E06DB5">
        <w:rPr>
          <w:rFonts w:ascii="Palatino Linotype" w:hAnsi="Palatino Linotype" w:cs="Arial"/>
          <w:b/>
          <w:bCs/>
        </w:rPr>
        <w:t>convocatoria_COIEB-18.pdf</w:t>
      </w:r>
      <w:r>
        <w:rPr>
          <w:rFonts w:ascii="Palatino Linotype" w:hAnsi="Palatino Linotype" w:cs="Arial"/>
          <w:b/>
          <w:bCs/>
        </w:rPr>
        <w:t xml:space="preserve">, </w:t>
      </w:r>
      <w:r>
        <w:rPr>
          <w:rFonts w:ascii="Palatino Linotype" w:hAnsi="Palatino Linotype" w:cs="Arial"/>
        </w:rPr>
        <w:t xml:space="preserve">archivo electrónico que contiene la convocatoria al Concurso de Oposición para </w:t>
      </w:r>
      <w:r w:rsidR="0093232B">
        <w:rPr>
          <w:rFonts w:ascii="Palatino Linotype" w:hAnsi="Palatino Linotype" w:cs="Arial"/>
        </w:rPr>
        <w:t xml:space="preserve">el Ingreso a la </w:t>
      </w:r>
      <w:r>
        <w:rPr>
          <w:rFonts w:ascii="Palatino Linotype" w:hAnsi="Palatino Linotype" w:cs="Arial"/>
        </w:rPr>
        <w:t>Educación Básica 2018-2019, en el cual, de manera sustancial se desprende la información que se observa en las siguientes imágenes:</w:t>
      </w:r>
    </w:p>
    <w:p w:rsidR="0093232B" w:rsidRPr="0093232B" w:rsidRDefault="0093232B" w:rsidP="0093232B">
      <w:pPr>
        <w:spacing w:line="360" w:lineRule="auto"/>
        <w:jc w:val="both"/>
        <w:rPr>
          <w:rFonts w:ascii="Palatino Linotype" w:hAnsi="Palatino Linotype" w:cs="Arial"/>
          <w:b/>
          <w:bCs/>
        </w:rPr>
      </w:pPr>
      <w:r>
        <w:rPr>
          <w:rFonts w:ascii="Palatino Linotype" w:hAnsi="Palatino Linotype" w:cs="Arial"/>
          <w:b/>
          <w:bCs/>
          <w:noProof/>
          <w:lang w:eastAsia="es-MX"/>
        </w:rPr>
        <w:drawing>
          <wp:inline distT="0" distB="0" distL="0" distR="0">
            <wp:extent cx="5757545" cy="6940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694055"/>
                    </a:xfrm>
                    <a:prstGeom prst="rect">
                      <a:avLst/>
                    </a:prstGeom>
                    <a:noFill/>
                    <a:ln>
                      <a:noFill/>
                    </a:ln>
                  </pic:spPr>
                </pic:pic>
              </a:graphicData>
            </a:graphic>
          </wp:inline>
        </w:drawing>
      </w:r>
    </w:p>
    <w:p w:rsidR="0056429C" w:rsidRDefault="0093232B" w:rsidP="003C63D5">
      <w:pPr>
        <w:spacing w:after="0" w:line="360" w:lineRule="auto"/>
        <w:jc w:val="both"/>
        <w:rPr>
          <w:rFonts w:ascii="Palatino Linotype" w:hAnsi="Palatino Linotype" w:cs="Arial"/>
          <w:bCs/>
          <w:sz w:val="24"/>
          <w:szCs w:val="24"/>
        </w:rPr>
      </w:pPr>
      <w:r>
        <w:rPr>
          <w:rFonts w:ascii="Palatino Linotype" w:hAnsi="Palatino Linotype" w:cs="Arial"/>
          <w:bCs/>
          <w:noProof/>
          <w:sz w:val="24"/>
          <w:szCs w:val="24"/>
          <w:lang w:eastAsia="es-MX"/>
        </w:rPr>
        <w:drawing>
          <wp:inline distT="0" distB="0" distL="0" distR="0">
            <wp:extent cx="5748655" cy="1498600"/>
            <wp:effectExtent l="0" t="0" r="444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1498600"/>
                    </a:xfrm>
                    <a:prstGeom prst="rect">
                      <a:avLst/>
                    </a:prstGeom>
                    <a:noFill/>
                    <a:ln>
                      <a:noFill/>
                    </a:ln>
                  </pic:spPr>
                </pic:pic>
              </a:graphicData>
            </a:graphic>
          </wp:inline>
        </w:drawing>
      </w:r>
    </w:p>
    <w:p w:rsidR="0093232B" w:rsidRDefault="0093232B" w:rsidP="003C63D5">
      <w:pPr>
        <w:spacing w:after="0" w:line="360" w:lineRule="auto"/>
        <w:jc w:val="both"/>
        <w:rPr>
          <w:rFonts w:ascii="Palatino Linotype" w:hAnsi="Palatino Linotype" w:cs="Arial"/>
          <w:bCs/>
          <w:sz w:val="24"/>
          <w:szCs w:val="24"/>
        </w:rPr>
      </w:pPr>
    </w:p>
    <w:p w:rsidR="00FB6015" w:rsidRPr="00FB6015" w:rsidRDefault="0093232B" w:rsidP="00FB6015">
      <w:pPr>
        <w:pStyle w:val="Prrafodelista"/>
        <w:numPr>
          <w:ilvl w:val="0"/>
          <w:numId w:val="4"/>
        </w:numPr>
        <w:spacing w:after="240" w:line="360" w:lineRule="auto"/>
        <w:ind w:left="714" w:hanging="357"/>
        <w:jc w:val="both"/>
        <w:rPr>
          <w:rFonts w:ascii="Palatino Linotype" w:hAnsi="Palatino Linotype" w:cs="Arial"/>
          <w:b/>
          <w:bCs/>
        </w:rPr>
      </w:pPr>
      <w:r w:rsidRPr="0093232B">
        <w:rPr>
          <w:rFonts w:ascii="Palatino Linotype" w:hAnsi="Palatino Linotype" w:cs="Arial"/>
          <w:b/>
          <w:bCs/>
        </w:rPr>
        <w:t>.6620001.pdf</w:t>
      </w:r>
      <w:r>
        <w:rPr>
          <w:rFonts w:ascii="Palatino Linotype" w:hAnsi="Palatino Linotype" w:cs="Arial"/>
          <w:b/>
          <w:bCs/>
        </w:rPr>
        <w:t xml:space="preserve">, </w:t>
      </w:r>
      <w:r>
        <w:rPr>
          <w:rFonts w:ascii="Palatino Linotype" w:hAnsi="Palatino Linotype" w:cs="Arial"/>
          <w:bCs/>
        </w:rPr>
        <w:t xml:space="preserve">archivo electrónico </w:t>
      </w:r>
      <w:r w:rsidR="00FB6015">
        <w:rPr>
          <w:rFonts w:ascii="Palatino Linotype" w:hAnsi="Palatino Linotype" w:cs="Arial"/>
          <w:bCs/>
        </w:rPr>
        <w:t>que contiene el oficio No. 20531ª000/01909/UT/2018 de fecha diecinueve de septiembre de dos mil dieciocho, signado por Gerardo Alcántara Espinoza, Titular de la Unidad de Transparencia del sujeto obligado, y remitido a la entonces solicitante, mediante el cual medularmente informa que la información con que cuenta la dependencia ha sido enviada por el Servidor Público Habilitado, la cual ya se encuentra disponible para su consulta en el SAIMEX.</w:t>
      </w:r>
    </w:p>
    <w:p w:rsidR="0093232B" w:rsidRPr="00FB6015" w:rsidRDefault="00FB6015" w:rsidP="00FB6015">
      <w:pPr>
        <w:pStyle w:val="Prrafodelista"/>
        <w:numPr>
          <w:ilvl w:val="0"/>
          <w:numId w:val="4"/>
        </w:numPr>
        <w:spacing w:line="360" w:lineRule="auto"/>
        <w:jc w:val="both"/>
        <w:rPr>
          <w:rFonts w:ascii="Palatino Linotype" w:hAnsi="Palatino Linotype" w:cs="Arial"/>
          <w:b/>
          <w:bCs/>
        </w:rPr>
      </w:pPr>
      <w:r>
        <w:rPr>
          <w:rFonts w:ascii="Palatino Linotype" w:hAnsi="Palatino Linotype" w:cs="Arial"/>
          <w:bCs/>
        </w:rPr>
        <w:lastRenderedPageBreak/>
        <w:t xml:space="preserve"> </w:t>
      </w:r>
      <w:r w:rsidRPr="00FB6015">
        <w:rPr>
          <w:rFonts w:ascii="Palatino Linotype" w:hAnsi="Palatino Linotype" w:cs="Arial"/>
          <w:b/>
          <w:bCs/>
        </w:rPr>
        <w:t>convocatoria_COPFS-EB.pdf</w:t>
      </w:r>
      <w:r>
        <w:rPr>
          <w:rFonts w:ascii="Palatino Linotype" w:hAnsi="Palatino Linotype" w:cs="Arial"/>
          <w:bCs/>
        </w:rPr>
        <w:t xml:space="preserve">, </w:t>
      </w:r>
      <w:r w:rsidRPr="00FB6015">
        <w:rPr>
          <w:rFonts w:ascii="Palatino Linotype" w:hAnsi="Palatino Linotype" w:cs="Arial"/>
          <w:bCs/>
        </w:rPr>
        <w:t xml:space="preserve">archivo electrónico que contiene la convocatoria al Concurso de Oposición para la Promoción a Categorías con Funciones de </w:t>
      </w:r>
      <w:r>
        <w:rPr>
          <w:rFonts w:ascii="Palatino Linotype" w:hAnsi="Palatino Linotype" w:cs="Arial"/>
          <w:bCs/>
        </w:rPr>
        <w:t xml:space="preserve"> Supervisión en </w:t>
      </w:r>
      <w:r w:rsidRPr="00FB6015">
        <w:rPr>
          <w:rFonts w:ascii="Palatino Linotype" w:hAnsi="Palatino Linotype" w:cs="Arial"/>
          <w:bCs/>
        </w:rPr>
        <w:t>Educación Básica 2018-2019, en el cual, de manera sustancial se desprende la información que se observa en las siguientes imágenes:</w:t>
      </w:r>
    </w:p>
    <w:p w:rsidR="00FB6015" w:rsidRDefault="00FB6015" w:rsidP="00FB6015">
      <w:pPr>
        <w:spacing w:line="360" w:lineRule="auto"/>
        <w:jc w:val="both"/>
        <w:rPr>
          <w:rFonts w:ascii="Palatino Linotype" w:hAnsi="Palatino Linotype" w:cs="Arial"/>
          <w:b/>
          <w:bCs/>
        </w:rPr>
      </w:pPr>
      <w:r>
        <w:rPr>
          <w:rFonts w:ascii="Palatino Linotype" w:hAnsi="Palatino Linotype" w:cs="Arial"/>
          <w:b/>
          <w:bCs/>
          <w:noProof/>
          <w:lang w:eastAsia="es-MX"/>
        </w:rPr>
        <w:drawing>
          <wp:inline distT="0" distB="0" distL="0" distR="0">
            <wp:extent cx="5757545" cy="12528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1252855"/>
                    </a:xfrm>
                    <a:prstGeom prst="rect">
                      <a:avLst/>
                    </a:prstGeom>
                    <a:noFill/>
                    <a:ln>
                      <a:noFill/>
                    </a:ln>
                  </pic:spPr>
                </pic:pic>
              </a:graphicData>
            </a:graphic>
          </wp:inline>
        </w:drawing>
      </w:r>
    </w:p>
    <w:p w:rsidR="00FB6015" w:rsidRPr="00FB6015" w:rsidRDefault="00FB6015" w:rsidP="00FB6015">
      <w:pPr>
        <w:spacing w:line="360" w:lineRule="auto"/>
        <w:jc w:val="both"/>
        <w:rPr>
          <w:rFonts w:ascii="Palatino Linotype" w:hAnsi="Palatino Linotype" w:cs="Arial"/>
          <w:b/>
          <w:bCs/>
        </w:rPr>
      </w:pPr>
      <w:r>
        <w:rPr>
          <w:rFonts w:ascii="Palatino Linotype" w:hAnsi="Palatino Linotype" w:cs="Arial"/>
          <w:b/>
          <w:bCs/>
          <w:noProof/>
          <w:lang w:eastAsia="es-MX"/>
        </w:rPr>
        <w:drawing>
          <wp:inline distT="0" distB="0" distL="0" distR="0">
            <wp:extent cx="5757545" cy="6267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626745"/>
                    </a:xfrm>
                    <a:prstGeom prst="rect">
                      <a:avLst/>
                    </a:prstGeom>
                    <a:noFill/>
                    <a:ln>
                      <a:noFill/>
                    </a:ln>
                  </pic:spPr>
                </pic:pic>
              </a:graphicData>
            </a:graphic>
          </wp:inline>
        </w:drawing>
      </w:r>
    </w:p>
    <w:p w:rsidR="0093232B" w:rsidRDefault="0093232B" w:rsidP="003C63D5">
      <w:pPr>
        <w:spacing w:after="0" w:line="360" w:lineRule="auto"/>
        <w:jc w:val="both"/>
        <w:rPr>
          <w:rFonts w:ascii="Palatino Linotype" w:hAnsi="Palatino Linotype" w:cs="Arial"/>
          <w:bCs/>
          <w:sz w:val="24"/>
          <w:szCs w:val="24"/>
        </w:rPr>
      </w:pPr>
    </w:p>
    <w:p w:rsidR="003C63D5" w:rsidRDefault="003C63D5" w:rsidP="003C63D5">
      <w:pPr>
        <w:spacing w:after="0" w:line="360" w:lineRule="auto"/>
        <w:jc w:val="both"/>
        <w:rPr>
          <w:rFonts w:ascii="Palatino Linotype" w:hAnsi="Palatino Linotype" w:cs="Arial"/>
          <w:bCs/>
          <w:sz w:val="24"/>
          <w:szCs w:val="24"/>
        </w:rPr>
      </w:pPr>
      <w:r w:rsidRPr="00E02774">
        <w:rPr>
          <w:rFonts w:ascii="Palatino Linotype" w:hAnsi="Palatino Linotype" w:cs="Arial"/>
          <w:bCs/>
          <w:sz w:val="24"/>
          <w:szCs w:val="24"/>
        </w:rPr>
        <w:t xml:space="preserve">En un primer plano, por cuanto hace a la respuesta del </w:t>
      </w:r>
      <w:r w:rsidRPr="00E02774">
        <w:rPr>
          <w:rFonts w:ascii="Palatino Linotype" w:hAnsi="Palatino Linotype" w:cs="Arial"/>
          <w:b/>
          <w:bCs/>
          <w:sz w:val="24"/>
          <w:szCs w:val="24"/>
        </w:rPr>
        <w:t>sujeto obligado</w:t>
      </w:r>
      <w:r w:rsidRPr="00E02774">
        <w:rPr>
          <w:rFonts w:ascii="Palatino Linotype" w:hAnsi="Palatino Linotype" w:cs="Arial"/>
          <w:bCs/>
          <w:sz w:val="24"/>
          <w:szCs w:val="24"/>
        </w:rPr>
        <w:t>, su pronunciamiento no niega la existencia de la información solicitada, por el contrario, se encuentra encaminada a atender la solicitud, por ello se asume que posee la información solicitada</w:t>
      </w:r>
      <w:r>
        <w:rPr>
          <w:rFonts w:ascii="Palatino Linotype" w:hAnsi="Palatino Linotype" w:cs="Arial"/>
          <w:bCs/>
          <w:sz w:val="24"/>
          <w:szCs w:val="24"/>
        </w:rPr>
        <w:t>, en términos de los artículos 12</w:t>
      </w:r>
      <w:r w:rsidR="00C73056">
        <w:rPr>
          <w:rFonts w:ascii="Palatino Linotype" w:hAnsi="Palatino Linotype" w:cs="Arial"/>
          <w:bCs/>
          <w:sz w:val="24"/>
          <w:szCs w:val="24"/>
        </w:rPr>
        <w:t>, antes referido,</w:t>
      </w:r>
      <w:r>
        <w:rPr>
          <w:rFonts w:ascii="Palatino Linotype" w:hAnsi="Palatino Linotype" w:cs="Arial"/>
          <w:bCs/>
          <w:sz w:val="24"/>
          <w:szCs w:val="24"/>
        </w:rPr>
        <w:t xml:space="preserve"> y 24 último párrafo de la Ley de Transparencia y Acceso a la Información Pública del Estado de México </w:t>
      </w:r>
      <w:r w:rsidRPr="00396BC6">
        <w:rPr>
          <w:rFonts w:ascii="Palatino Linotype" w:hAnsi="Palatino Linotype" w:cs="Arial"/>
          <w:bCs/>
          <w:sz w:val="24"/>
          <w:szCs w:val="24"/>
        </w:rPr>
        <w:t>y Municipios</w:t>
      </w:r>
      <w:r w:rsidRPr="00396BC6">
        <w:rPr>
          <w:rStyle w:val="Refdenotaalpie"/>
          <w:rFonts w:ascii="Palatino Linotype" w:hAnsi="Palatino Linotype" w:cs="Arial"/>
          <w:bCs/>
          <w:sz w:val="24"/>
          <w:szCs w:val="24"/>
        </w:rPr>
        <w:footnoteReference w:id="2"/>
      </w:r>
      <w:r w:rsidRPr="00396BC6">
        <w:rPr>
          <w:rFonts w:ascii="Palatino Linotype" w:hAnsi="Palatino Linotype" w:cs="Arial"/>
          <w:bCs/>
          <w:sz w:val="24"/>
          <w:szCs w:val="24"/>
        </w:rPr>
        <w:t>, por lo tanto, el estudio de la fuente obligacional en específico se obvia</w:t>
      </w:r>
      <w:r>
        <w:rPr>
          <w:rFonts w:ascii="Palatino Linotype" w:hAnsi="Palatino Linotype" w:cs="Arial"/>
          <w:bCs/>
          <w:sz w:val="24"/>
          <w:szCs w:val="24"/>
        </w:rPr>
        <w:t xml:space="preserve">, toda vez que el objetivo de la misma es determinar si existe la obligación de </w:t>
      </w:r>
      <w:r>
        <w:rPr>
          <w:rFonts w:ascii="Palatino Linotype" w:hAnsi="Palatino Linotype" w:cs="Arial"/>
          <w:bCs/>
          <w:sz w:val="24"/>
          <w:szCs w:val="24"/>
        </w:rPr>
        <w:lastRenderedPageBreak/>
        <w:t xml:space="preserve">tener en sus archivos la información, y al existir la manifestación de poseer la misma, a </w:t>
      </w:r>
      <w:r w:rsidRPr="00E02774">
        <w:rPr>
          <w:rFonts w:ascii="Palatino Linotype" w:hAnsi="Palatino Linotype" w:cs="Arial"/>
          <w:bCs/>
          <w:sz w:val="24"/>
          <w:szCs w:val="24"/>
        </w:rPr>
        <w:t>nada práctico llevaría el alcance del mismo.</w:t>
      </w:r>
    </w:p>
    <w:p w:rsidR="00C77636" w:rsidRDefault="00C77636" w:rsidP="003C63D5">
      <w:pPr>
        <w:spacing w:after="0" w:line="360" w:lineRule="auto"/>
        <w:jc w:val="both"/>
        <w:rPr>
          <w:rFonts w:ascii="Palatino Linotype" w:hAnsi="Palatino Linotype" w:cs="Arial"/>
          <w:bCs/>
          <w:sz w:val="24"/>
          <w:szCs w:val="24"/>
        </w:rPr>
      </w:pPr>
    </w:p>
    <w:p w:rsidR="00C77636" w:rsidRDefault="0069172F" w:rsidP="00C77636">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No conforme con la</w:t>
      </w:r>
      <w:r w:rsidR="00C77636">
        <w:rPr>
          <w:rFonts w:ascii="Palatino Linotype" w:hAnsi="Palatino Linotype"/>
          <w:sz w:val="24"/>
          <w:szCs w:val="24"/>
          <w:lang w:eastAsia="es-MX"/>
        </w:rPr>
        <w:t xml:space="preserve"> respuesta emit</w:t>
      </w:r>
      <w:r>
        <w:rPr>
          <w:rFonts w:ascii="Palatino Linotype" w:hAnsi="Palatino Linotype"/>
          <w:sz w:val="24"/>
          <w:szCs w:val="24"/>
          <w:lang w:eastAsia="es-MX"/>
        </w:rPr>
        <w:t xml:space="preserve">ida por </w:t>
      </w:r>
      <w:r w:rsidRPr="00884D06">
        <w:rPr>
          <w:rFonts w:ascii="Palatino Linotype" w:hAnsi="Palatino Linotype"/>
          <w:b/>
          <w:sz w:val="24"/>
          <w:szCs w:val="24"/>
          <w:lang w:eastAsia="es-MX"/>
        </w:rPr>
        <w:t>el sujeto obligado</w:t>
      </w:r>
      <w:r w:rsidR="003E34BE">
        <w:rPr>
          <w:rFonts w:ascii="Palatino Linotype" w:hAnsi="Palatino Linotype"/>
          <w:sz w:val="24"/>
          <w:szCs w:val="24"/>
          <w:lang w:eastAsia="es-MX"/>
        </w:rPr>
        <w:t>, la</w:t>
      </w:r>
      <w:r>
        <w:rPr>
          <w:rFonts w:ascii="Palatino Linotype" w:hAnsi="Palatino Linotype"/>
          <w:sz w:val="24"/>
          <w:szCs w:val="24"/>
          <w:lang w:eastAsia="es-MX"/>
        </w:rPr>
        <w:t xml:space="preserve"> p</w:t>
      </w:r>
      <w:r w:rsidR="00C77636">
        <w:rPr>
          <w:rFonts w:ascii="Palatino Linotype" w:hAnsi="Palatino Linotype"/>
          <w:sz w:val="24"/>
          <w:szCs w:val="24"/>
          <w:lang w:eastAsia="es-MX"/>
        </w:rPr>
        <w:t xml:space="preserve">articular suscribió </w:t>
      </w:r>
      <w:r>
        <w:rPr>
          <w:rFonts w:ascii="Palatino Linotype" w:hAnsi="Palatino Linotype"/>
          <w:sz w:val="24"/>
          <w:szCs w:val="24"/>
          <w:lang w:eastAsia="es-MX"/>
        </w:rPr>
        <w:t>el presente recurso de revisión, mediante el cual manifestó</w:t>
      </w:r>
      <w:r w:rsidR="00C77636" w:rsidRPr="00C77636">
        <w:rPr>
          <w:rFonts w:ascii="Palatino Linotype" w:hAnsi="Palatino Linotype"/>
          <w:sz w:val="24"/>
          <w:szCs w:val="24"/>
          <w:lang w:eastAsia="es-MX"/>
        </w:rPr>
        <w:t xml:space="preserve"> las siguientes razones o motivos de inconformidad.</w:t>
      </w:r>
    </w:p>
    <w:p w:rsidR="0069172F" w:rsidRDefault="0069172F" w:rsidP="00C77636">
      <w:pPr>
        <w:spacing w:after="0" w:line="360" w:lineRule="auto"/>
        <w:ind w:right="141"/>
        <w:jc w:val="both"/>
        <w:rPr>
          <w:rFonts w:ascii="Palatino Linotype" w:hAnsi="Palatino Linotype"/>
          <w:sz w:val="24"/>
          <w:szCs w:val="24"/>
          <w:lang w:eastAsia="es-MX"/>
        </w:rPr>
      </w:pPr>
    </w:p>
    <w:p w:rsidR="0069172F" w:rsidRDefault="0069172F" w:rsidP="0069172F">
      <w:pPr>
        <w:spacing w:after="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9172F" w:rsidRDefault="0069172F" w:rsidP="0069172F">
      <w:pPr>
        <w:spacing w:after="0" w:line="360" w:lineRule="auto"/>
        <w:jc w:val="both"/>
        <w:rPr>
          <w:rFonts w:ascii="Palatino Linotype" w:hAnsi="Palatino Linotype" w:cs="Arial"/>
          <w:sz w:val="24"/>
        </w:rPr>
      </w:pPr>
    </w:p>
    <w:p w:rsidR="0069172F" w:rsidRDefault="0069172F" w:rsidP="0069172F">
      <w:pPr>
        <w:spacing w:after="0" w:line="240" w:lineRule="auto"/>
        <w:ind w:left="567" w:right="567"/>
        <w:jc w:val="both"/>
        <w:rPr>
          <w:rFonts w:ascii="Palatino Linotype" w:hAnsi="Palatino Linotype"/>
          <w:i/>
          <w:color w:val="000000"/>
        </w:rPr>
      </w:pPr>
      <w:r w:rsidRPr="00802232">
        <w:rPr>
          <w:rFonts w:ascii="Palatino Linotype" w:hAnsi="Palatino Linotype"/>
          <w:i/>
          <w:color w:val="000000"/>
        </w:rPr>
        <w:t>“</w:t>
      </w:r>
      <w:r w:rsidRPr="00CC2069">
        <w:rPr>
          <w:rFonts w:ascii="Palatino Linotype" w:hAnsi="Palatino Linotype"/>
          <w:i/>
          <w:color w:val="000000"/>
        </w:rPr>
        <w:t>El sujeto obligado adjunta convocatorias que en ningún caso corresponden al perfil de trabajador social para ingreso a la educación especial, que aunque no sea figura reconocida por la SEP, sí existe como parte del equipo multidisciplinario en USAER y CAM, por lo que me gustaría conocer el número de vacantes para INTERINATOS de TRABAJO SOCIAL, ya que he acudido de manera presencial a la coordinación y se me ha negado la información, alegando que tengo que acudir a las subdirecciones de cada zona, cuando en años anteriores sí se tenía acceso a dicha información directamente en la coordinación. Además con perfil de Lic. en trabajo social no te permiten hacer el examen de oposición, por lo que conocer las convocatorias que había revisado en los meses pasados me resulta irrelevante y no corresponde a la información que solicite.</w:t>
      </w:r>
      <w:r w:rsidRPr="00802232">
        <w:rPr>
          <w:rFonts w:ascii="Palatino Linotype" w:hAnsi="Palatino Linotype"/>
          <w:i/>
          <w:color w:val="000000"/>
        </w:rPr>
        <w:t>”</w:t>
      </w:r>
      <w:r>
        <w:rPr>
          <w:rFonts w:ascii="Palatino Linotype" w:hAnsi="Palatino Linotype"/>
          <w:i/>
          <w:color w:val="000000"/>
        </w:rPr>
        <w:t xml:space="preserve"> (sic)</w:t>
      </w:r>
    </w:p>
    <w:p w:rsidR="0069172F" w:rsidRDefault="0069172F" w:rsidP="00C77636">
      <w:pPr>
        <w:spacing w:after="0" w:line="360" w:lineRule="auto"/>
        <w:ind w:right="141"/>
        <w:jc w:val="both"/>
        <w:rPr>
          <w:rFonts w:ascii="Palatino Linotype" w:hAnsi="Palatino Linotype" w:cs="Arial"/>
          <w:bCs/>
          <w:sz w:val="24"/>
          <w:szCs w:val="24"/>
        </w:rPr>
      </w:pPr>
    </w:p>
    <w:p w:rsidR="007B3DD1" w:rsidRDefault="007B3DD1" w:rsidP="003C63D5">
      <w:pPr>
        <w:spacing w:after="0" w:line="360" w:lineRule="auto"/>
        <w:jc w:val="both"/>
        <w:rPr>
          <w:rFonts w:ascii="Palatino Linotype" w:hAnsi="Palatino Linotype" w:cs="Arial"/>
          <w:bCs/>
          <w:sz w:val="24"/>
          <w:szCs w:val="24"/>
        </w:rPr>
      </w:pPr>
    </w:p>
    <w:p w:rsidR="0069172F" w:rsidRDefault="005E0D84" w:rsidP="005E0D84">
      <w:pPr>
        <w:spacing w:after="0" w:line="360" w:lineRule="auto"/>
        <w:jc w:val="both"/>
        <w:rPr>
          <w:rFonts w:ascii="Palatino Linotype" w:hAnsi="Palatino Linotype" w:cs="Arial"/>
          <w:bCs/>
          <w:sz w:val="24"/>
          <w:szCs w:val="24"/>
        </w:rPr>
      </w:pPr>
      <w:r>
        <w:rPr>
          <w:rFonts w:ascii="Palatino Linotype" w:hAnsi="Palatino Linotype" w:cs="Arial"/>
          <w:bCs/>
          <w:sz w:val="24"/>
          <w:szCs w:val="24"/>
        </w:rPr>
        <w:t>Así las cosas, u</w:t>
      </w:r>
      <w:r w:rsidR="00EF39FD">
        <w:rPr>
          <w:rFonts w:ascii="Palatino Linotype" w:hAnsi="Palatino Linotype" w:cs="Arial"/>
          <w:bCs/>
          <w:sz w:val="24"/>
          <w:szCs w:val="24"/>
        </w:rPr>
        <w:t xml:space="preserve">na vez analizada la solicitud </w:t>
      </w:r>
      <w:r w:rsidR="00C73056">
        <w:rPr>
          <w:rFonts w:ascii="Palatino Linotype" w:hAnsi="Palatino Linotype" w:cs="Arial"/>
          <w:bCs/>
          <w:sz w:val="24"/>
          <w:szCs w:val="24"/>
        </w:rPr>
        <w:t>d</w:t>
      </w:r>
      <w:r w:rsidR="00EF39FD">
        <w:rPr>
          <w:rFonts w:ascii="Palatino Linotype" w:hAnsi="Palatino Linotype" w:cs="Arial"/>
          <w:bCs/>
          <w:sz w:val="24"/>
          <w:szCs w:val="24"/>
        </w:rPr>
        <w:t>e información, al hacer el cruce con la respuesta emitida</w:t>
      </w:r>
      <w:r w:rsidR="00EF39FD">
        <w:rPr>
          <w:rFonts w:ascii="Palatino Linotype" w:hAnsi="Palatino Linotype" w:cs="Arial"/>
          <w:b/>
          <w:bCs/>
          <w:sz w:val="24"/>
          <w:szCs w:val="24"/>
        </w:rPr>
        <w:t xml:space="preserve">, </w:t>
      </w:r>
      <w:r w:rsidR="00EF39FD">
        <w:rPr>
          <w:rFonts w:ascii="Palatino Linotype" w:hAnsi="Palatino Linotype" w:cs="Arial"/>
          <w:bCs/>
          <w:sz w:val="24"/>
          <w:szCs w:val="24"/>
        </w:rPr>
        <w:t>podemos precisar que</w:t>
      </w:r>
      <w:r w:rsidR="000B6E06">
        <w:rPr>
          <w:rFonts w:ascii="Palatino Linotype" w:hAnsi="Palatino Linotype" w:cs="Arial"/>
          <w:bCs/>
          <w:sz w:val="24"/>
          <w:szCs w:val="24"/>
        </w:rPr>
        <w:t xml:space="preserve"> </w:t>
      </w:r>
      <w:r w:rsidR="000B6E06" w:rsidRPr="00BC2FC9">
        <w:rPr>
          <w:rFonts w:ascii="Palatino Linotype" w:hAnsi="Palatino Linotype" w:cs="Arial"/>
          <w:b/>
          <w:bCs/>
          <w:sz w:val="24"/>
          <w:szCs w:val="24"/>
        </w:rPr>
        <w:t>el sujeto obligado</w:t>
      </w:r>
      <w:r w:rsidR="00D14D01">
        <w:rPr>
          <w:rFonts w:ascii="Palatino Linotype" w:hAnsi="Palatino Linotype" w:cs="Arial"/>
          <w:b/>
          <w:bCs/>
          <w:sz w:val="24"/>
          <w:szCs w:val="24"/>
        </w:rPr>
        <w:t xml:space="preserve">, </w:t>
      </w:r>
      <w:r w:rsidRPr="005E0D84">
        <w:rPr>
          <w:rFonts w:ascii="Palatino Linotype" w:hAnsi="Palatino Linotype" w:cs="Arial"/>
          <w:bCs/>
          <w:sz w:val="24"/>
          <w:szCs w:val="24"/>
        </w:rPr>
        <w:t>se pronunció de manera adecuada respecto de lo solicitado</w:t>
      </w:r>
      <w:r w:rsidR="00342CB9">
        <w:rPr>
          <w:rFonts w:ascii="Palatino Linotype" w:hAnsi="Palatino Linotype" w:cs="Arial"/>
          <w:bCs/>
          <w:sz w:val="24"/>
          <w:szCs w:val="24"/>
        </w:rPr>
        <w:t xml:space="preserve"> por la</w:t>
      </w:r>
      <w:r>
        <w:rPr>
          <w:rFonts w:ascii="Palatino Linotype" w:hAnsi="Palatino Linotype" w:cs="Arial"/>
          <w:bCs/>
          <w:sz w:val="24"/>
          <w:szCs w:val="24"/>
        </w:rPr>
        <w:t xml:space="preserve"> recurrente, ya que como se observa en los antecedent</w:t>
      </w:r>
      <w:r w:rsidR="003E34BE">
        <w:rPr>
          <w:rFonts w:ascii="Palatino Linotype" w:hAnsi="Palatino Linotype" w:cs="Arial"/>
          <w:bCs/>
          <w:sz w:val="24"/>
          <w:szCs w:val="24"/>
        </w:rPr>
        <w:t>es de la presente resolución, la</w:t>
      </w:r>
      <w:r>
        <w:rPr>
          <w:rFonts w:ascii="Palatino Linotype" w:hAnsi="Palatino Linotype" w:cs="Arial"/>
          <w:bCs/>
          <w:sz w:val="24"/>
          <w:szCs w:val="24"/>
        </w:rPr>
        <w:t xml:space="preserve"> particular solicitó las vacantes existentes para trabajadores sociales en la educación especial, a lo que el sujeto obligado remitió </w:t>
      </w:r>
      <w:r w:rsidRPr="005E0D84">
        <w:rPr>
          <w:rFonts w:ascii="Palatino Linotype" w:hAnsi="Palatino Linotype" w:cs="Arial"/>
          <w:bCs/>
          <w:sz w:val="24"/>
          <w:szCs w:val="24"/>
        </w:rPr>
        <w:t>los procesos de Ingreso y Promoción en Educación Básica,</w:t>
      </w:r>
      <w:r>
        <w:rPr>
          <w:rFonts w:ascii="Palatino Linotype" w:hAnsi="Palatino Linotype" w:cs="Arial"/>
          <w:bCs/>
          <w:sz w:val="24"/>
          <w:szCs w:val="24"/>
        </w:rPr>
        <w:t xml:space="preserve"> que</w:t>
      </w:r>
      <w:r w:rsidRPr="005E0D84">
        <w:rPr>
          <w:rFonts w:ascii="Palatino Linotype" w:hAnsi="Palatino Linotype" w:cs="Arial"/>
          <w:bCs/>
          <w:sz w:val="24"/>
          <w:szCs w:val="24"/>
        </w:rPr>
        <w:t xml:space="preserve"> contemplan las categorías de Docente, Directivo y Supervisor en Educación Especial, asimismo, para </w:t>
      </w:r>
      <w:r w:rsidRPr="005E0D84">
        <w:rPr>
          <w:rFonts w:ascii="Palatino Linotype" w:hAnsi="Palatino Linotype" w:cs="Arial"/>
          <w:bCs/>
          <w:sz w:val="24"/>
          <w:szCs w:val="24"/>
        </w:rPr>
        <w:lastRenderedPageBreak/>
        <w:t>el caso de la categoría “Docente”, consideran las asi</w:t>
      </w:r>
      <w:r>
        <w:rPr>
          <w:rFonts w:ascii="Palatino Linotype" w:hAnsi="Palatino Linotype" w:cs="Arial"/>
          <w:bCs/>
          <w:sz w:val="24"/>
          <w:szCs w:val="24"/>
        </w:rPr>
        <w:t xml:space="preserve">gnaturas: especial, auditiva y lenguaje, visual, motriz </w:t>
      </w:r>
      <w:r w:rsidR="00A11FFA">
        <w:rPr>
          <w:rFonts w:ascii="Palatino Linotype" w:hAnsi="Palatino Linotype" w:cs="Arial"/>
          <w:bCs/>
          <w:sz w:val="24"/>
          <w:szCs w:val="24"/>
        </w:rPr>
        <w:t>e</w:t>
      </w:r>
      <w:r w:rsidR="00A11FFA" w:rsidRPr="005E0D84">
        <w:rPr>
          <w:rFonts w:ascii="Palatino Linotype" w:hAnsi="Palatino Linotype" w:cs="Arial"/>
          <w:bCs/>
          <w:sz w:val="24"/>
          <w:szCs w:val="24"/>
        </w:rPr>
        <w:t xml:space="preserve"> intelectual</w:t>
      </w:r>
      <w:r w:rsidR="00A11FFA">
        <w:rPr>
          <w:rFonts w:ascii="Palatino Linotype" w:hAnsi="Palatino Linotype" w:cs="Arial"/>
          <w:bCs/>
          <w:sz w:val="24"/>
          <w:szCs w:val="24"/>
        </w:rPr>
        <w:t>, de igual forma, dentro de los procesos remitidos, podemos advertir que se encuentra la cantidad de vacantes tanto temporales como definitivas respecto de la educa</w:t>
      </w:r>
      <w:r w:rsidR="0091741F">
        <w:rPr>
          <w:rFonts w:ascii="Palatino Linotype" w:hAnsi="Palatino Linotype" w:cs="Arial"/>
          <w:bCs/>
          <w:sz w:val="24"/>
          <w:szCs w:val="24"/>
        </w:rPr>
        <w:t>ción especial. Aunado a que el s</w:t>
      </w:r>
      <w:r w:rsidR="00A11FFA">
        <w:rPr>
          <w:rFonts w:ascii="Palatino Linotype" w:hAnsi="Palatino Linotype" w:cs="Arial"/>
          <w:bCs/>
          <w:sz w:val="24"/>
          <w:szCs w:val="24"/>
        </w:rPr>
        <w:t xml:space="preserve">ujeto obligado </w:t>
      </w:r>
      <w:r w:rsidR="00884D06">
        <w:rPr>
          <w:rFonts w:ascii="Palatino Linotype" w:hAnsi="Palatino Linotype" w:cs="Arial"/>
          <w:bCs/>
          <w:sz w:val="24"/>
          <w:szCs w:val="24"/>
        </w:rPr>
        <w:t>manifestó</w:t>
      </w:r>
      <w:r w:rsidR="00A11FFA">
        <w:rPr>
          <w:rFonts w:ascii="Palatino Linotype" w:hAnsi="Palatino Linotype" w:cs="Arial"/>
          <w:bCs/>
          <w:sz w:val="24"/>
          <w:szCs w:val="24"/>
        </w:rPr>
        <w:t>, que la información remitida respecto de las vacantes referidas, es con la que cuenta la Dependencia.</w:t>
      </w:r>
    </w:p>
    <w:p w:rsidR="00A11FFA" w:rsidRDefault="00A11FFA" w:rsidP="005E0D84">
      <w:pPr>
        <w:spacing w:after="0" w:line="360" w:lineRule="auto"/>
        <w:jc w:val="both"/>
        <w:rPr>
          <w:rFonts w:ascii="Palatino Linotype" w:hAnsi="Palatino Linotype" w:cs="Arial"/>
          <w:bCs/>
          <w:sz w:val="24"/>
          <w:szCs w:val="24"/>
        </w:rPr>
      </w:pPr>
    </w:p>
    <w:p w:rsidR="00A11FFA" w:rsidRDefault="00A11FFA" w:rsidP="00A11FF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Sin embargo tal como</w:t>
      </w:r>
      <w:r w:rsidR="00342CB9">
        <w:rPr>
          <w:rFonts w:ascii="Palatino Linotype" w:hAnsi="Palatino Linotype" w:cs="Arial"/>
          <w:sz w:val="24"/>
          <w:szCs w:val="24"/>
        </w:rPr>
        <w:t xml:space="preserve"> quedó asentado anteriormente la</w:t>
      </w:r>
      <w:r>
        <w:rPr>
          <w:rFonts w:ascii="Palatino Linotype" w:hAnsi="Palatino Linotype" w:cs="Arial"/>
          <w:sz w:val="24"/>
          <w:szCs w:val="24"/>
        </w:rPr>
        <w:t xml:space="preserve"> recurrente interpuso el recurso de revisión impugnando la respuesta proporcionada a la solicitud de información, argumentando que la información remitida en ningún caso corresponde</w:t>
      </w:r>
      <w:r w:rsidRPr="00A11FFA">
        <w:rPr>
          <w:rFonts w:ascii="Palatino Linotype" w:hAnsi="Palatino Linotype" w:cs="Arial"/>
          <w:sz w:val="24"/>
          <w:szCs w:val="24"/>
        </w:rPr>
        <w:t xml:space="preserve"> al perfil de trabajador social para ingreso a la educación especial, que aunque no sea figura reconocida por la SEP, </w:t>
      </w:r>
      <w:r w:rsidRPr="00A12CED">
        <w:rPr>
          <w:rFonts w:ascii="Palatino Linotype" w:hAnsi="Palatino Linotype" w:cs="Arial"/>
          <w:b/>
          <w:sz w:val="24"/>
          <w:szCs w:val="24"/>
        </w:rPr>
        <w:t xml:space="preserve">sí existe como parte del equipo multidisciplinario en USAER y CAM, por lo que </w:t>
      </w:r>
      <w:r w:rsidR="00A12CED" w:rsidRPr="00A12CED">
        <w:rPr>
          <w:rFonts w:ascii="Palatino Linotype" w:hAnsi="Palatino Linotype" w:cs="Arial"/>
          <w:b/>
          <w:sz w:val="24"/>
          <w:szCs w:val="24"/>
        </w:rPr>
        <w:t>quiere</w:t>
      </w:r>
      <w:r w:rsidRPr="00A12CED">
        <w:rPr>
          <w:rFonts w:ascii="Palatino Linotype" w:hAnsi="Palatino Linotype" w:cs="Arial"/>
          <w:b/>
          <w:sz w:val="24"/>
          <w:szCs w:val="24"/>
        </w:rPr>
        <w:t xml:space="preserve"> conocer el número de vacantes para INTERINATOS de TRABAJO SOCIAL</w:t>
      </w:r>
      <w:r w:rsidR="00EF41CA">
        <w:rPr>
          <w:rFonts w:ascii="Palatino Linotype" w:hAnsi="Palatino Linotype" w:cs="Arial"/>
          <w:sz w:val="24"/>
          <w:szCs w:val="24"/>
        </w:rPr>
        <w:t>, asimismo la</w:t>
      </w:r>
      <w:r>
        <w:rPr>
          <w:rFonts w:ascii="Palatino Linotype" w:hAnsi="Palatino Linotype" w:cs="Arial"/>
          <w:sz w:val="24"/>
          <w:szCs w:val="24"/>
        </w:rPr>
        <w:t xml:space="preserve"> particular refiere que </w:t>
      </w:r>
      <w:r w:rsidR="00A12CED">
        <w:rPr>
          <w:rFonts w:ascii="Palatino Linotype" w:hAnsi="Palatino Linotype" w:cs="Arial"/>
          <w:sz w:val="24"/>
          <w:szCs w:val="24"/>
        </w:rPr>
        <w:t>se le</w:t>
      </w:r>
      <w:r w:rsidR="00A12CED" w:rsidRPr="00A12CED">
        <w:rPr>
          <w:rFonts w:ascii="Palatino Linotype" w:hAnsi="Palatino Linotype" w:cs="Arial"/>
          <w:sz w:val="24"/>
          <w:szCs w:val="24"/>
        </w:rPr>
        <w:t xml:space="preserve"> ha negado la</w:t>
      </w:r>
      <w:r w:rsidR="00A12CED">
        <w:rPr>
          <w:rFonts w:ascii="Palatino Linotype" w:hAnsi="Palatino Linotype" w:cs="Arial"/>
          <w:sz w:val="24"/>
          <w:szCs w:val="24"/>
        </w:rPr>
        <w:t xml:space="preserve"> información, alegando que tiene</w:t>
      </w:r>
      <w:r w:rsidR="00A12CED" w:rsidRPr="00A12CED">
        <w:rPr>
          <w:rFonts w:ascii="Palatino Linotype" w:hAnsi="Palatino Linotype" w:cs="Arial"/>
          <w:sz w:val="24"/>
          <w:szCs w:val="24"/>
        </w:rPr>
        <w:t xml:space="preserve"> que acudir a las subdirecciones de cada zona, cuando en años anteriores sí se tenía acceso a dicha información directamente en la coordinación. Además con perfil</w:t>
      </w:r>
      <w:r w:rsidR="00A12CED">
        <w:rPr>
          <w:rFonts w:ascii="Palatino Linotype" w:hAnsi="Palatino Linotype" w:cs="Arial"/>
          <w:sz w:val="24"/>
          <w:szCs w:val="24"/>
        </w:rPr>
        <w:t xml:space="preserve"> de Lic. en trabajo social no le</w:t>
      </w:r>
      <w:r w:rsidR="00A12CED" w:rsidRPr="00A12CED">
        <w:rPr>
          <w:rFonts w:ascii="Palatino Linotype" w:hAnsi="Palatino Linotype" w:cs="Arial"/>
          <w:sz w:val="24"/>
          <w:szCs w:val="24"/>
        </w:rPr>
        <w:t xml:space="preserve"> permiten hacer el examen de oposición, por lo que conocer las convocatorias que había </w:t>
      </w:r>
      <w:r w:rsidR="00A12CED">
        <w:rPr>
          <w:rFonts w:ascii="Palatino Linotype" w:hAnsi="Palatino Linotype" w:cs="Arial"/>
          <w:sz w:val="24"/>
          <w:szCs w:val="24"/>
        </w:rPr>
        <w:t>revisado en los meses pasados le</w:t>
      </w:r>
      <w:r w:rsidR="00A12CED" w:rsidRPr="00A12CED">
        <w:rPr>
          <w:rFonts w:ascii="Palatino Linotype" w:hAnsi="Palatino Linotype" w:cs="Arial"/>
          <w:sz w:val="24"/>
          <w:szCs w:val="24"/>
        </w:rPr>
        <w:t xml:space="preserve"> resulta irrelevante</w:t>
      </w:r>
      <w:r>
        <w:rPr>
          <w:rFonts w:ascii="Palatino Linotype" w:hAnsi="Palatino Linotype" w:cs="Arial"/>
          <w:i/>
          <w:sz w:val="24"/>
          <w:szCs w:val="24"/>
        </w:rPr>
        <w:t>”</w:t>
      </w:r>
      <w:r>
        <w:rPr>
          <w:rFonts w:ascii="Palatino Linotype" w:hAnsi="Palatino Linotype" w:cs="Arial"/>
          <w:sz w:val="24"/>
          <w:szCs w:val="24"/>
        </w:rPr>
        <w:t xml:space="preserve">, manifestaciones que no son </w:t>
      </w:r>
      <w:r w:rsidR="00EF41CA">
        <w:rPr>
          <w:rFonts w:ascii="Palatino Linotype" w:hAnsi="Palatino Linotype" w:cs="Arial"/>
          <w:sz w:val="24"/>
          <w:szCs w:val="24"/>
        </w:rPr>
        <w:t>susceptibles</w:t>
      </w:r>
      <w:r>
        <w:rPr>
          <w:rFonts w:ascii="Palatino Linotype" w:hAnsi="Palatino Linotype" w:cs="Arial"/>
          <w:sz w:val="24"/>
          <w:szCs w:val="24"/>
        </w:rPr>
        <w:t xml:space="preserve"> de ser valoradas, ya que se consideran como </w:t>
      </w:r>
      <w:r w:rsidRPr="003D0195">
        <w:rPr>
          <w:rFonts w:ascii="Palatino Linotype" w:hAnsi="Palatino Linotype" w:cs="Arial"/>
          <w:i/>
          <w:sz w:val="24"/>
          <w:szCs w:val="24"/>
          <w:u w:val="single"/>
        </w:rPr>
        <w:t>plus petitio</w:t>
      </w:r>
      <w:r>
        <w:rPr>
          <w:rFonts w:ascii="Palatino Linotype" w:hAnsi="Palatino Linotype" w:cs="Arial"/>
          <w:sz w:val="24"/>
          <w:szCs w:val="24"/>
        </w:rPr>
        <w:t>, circunstancia sobre la cual se aborda a continuación.</w:t>
      </w:r>
    </w:p>
    <w:p w:rsidR="00A12CED" w:rsidRDefault="00A12CED" w:rsidP="00A11FFA">
      <w:pPr>
        <w:autoSpaceDE w:val="0"/>
        <w:autoSpaceDN w:val="0"/>
        <w:adjustRightInd w:val="0"/>
        <w:spacing w:after="0" w:line="360" w:lineRule="auto"/>
        <w:jc w:val="both"/>
        <w:rPr>
          <w:rFonts w:ascii="Palatino Linotype" w:hAnsi="Palatino Linotype" w:cs="Arial"/>
          <w:sz w:val="24"/>
          <w:szCs w:val="24"/>
        </w:rPr>
      </w:pPr>
    </w:p>
    <w:p w:rsidR="00A12CED" w:rsidRDefault="00A12CED" w:rsidP="00A12CED">
      <w:pPr>
        <w:shd w:val="clear" w:color="auto" w:fill="FFFFFF"/>
        <w:spacing w:after="0" w:line="360" w:lineRule="auto"/>
        <w:jc w:val="both"/>
        <w:rPr>
          <w:rFonts w:ascii="Palatino Linotype" w:eastAsia="Times New Roman" w:hAnsi="Palatino Linotype" w:cs="Times New Roman"/>
          <w:color w:val="222222"/>
          <w:sz w:val="24"/>
          <w:szCs w:val="24"/>
          <w:lang w:eastAsia="es-MX"/>
        </w:rPr>
      </w:pPr>
      <w:r w:rsidRPr="003D0195">
        <w:rPr>
          <w:rFonts w:ascii="Palatino Linotype" w:eastAsia="Times New Roman" w:hAnsi="Palatino Linotype" w:cs="Times New Roman"/>
          <w:color w:val="222222"/>
          <w:sz w:val="24"/>
          <w:szCs w:val="24"/>
          <w:lang w:eastAsia="es-MX"/>
        </w:rPr>
        <w:t xml:space="preserve">En términos de la fracción VII del artículo 191 de la </w:t>
      </w:r>
      <w:r>
        <w:rPr>
          <w:rFonts w:ascii="Palatino Linotype" w:eastAsia="Times New Roman" w:hAnsi="Palatino Linotype" w:cs="Times New Roman"/>
          <w:color w:val="222222"/>
          <w:sz w:val="24"/>
          <w:szCs w:val="24"/>
          <w:lang w:eastAsia="es-MX"/>
        </w:rPr>
        <w:t xml:space="preserve">ley de la materia, se considera </w:t>
      </w:r>
      <w:r>
        <w:rPr>
          <w:rFonts w:ascii="Palatino Linotype" w:eastAsia="Times New Roman" w:hAnsi="Palatino Linotype" w:cs="Times New Roman"/>
          <w:i/>
          <w:iCs/>
          <w:color w:val="222222"/>
          <w:sz w:val="24"/>
          <w:szCs w:val="24"/>
          <w:lang w:eastAsia="es-MX"/>
        </w:rPr>
        <w:t xml:space="preserve">plus petitio </w:t>
      </w:r>
      <w:r>
        <w:rPr>
          <w:rFonts w:ascii="Palatino Linotype" w:eastAsia="Times New Roman" w:hAnsi="Palatino Linotype" w:cs="Times New Roman"/>
          <w:color w:val="222222"/>
          <w:sz w:val="24"/>
          <w:szCs w:val="24"/>
          <w:lang w:eastAsia="es-MX"/>
        </w:rPr>
        <w:t xml:space="preserve">cuando </w:t>
      </w:r>
      <w:r>
        <w:rPr>
          <w:rFonts w:ascii="Palatino Linotype" w:eastAsia="Times New Roman" w:hAnsi="Palatino Linotype" w:cs="Times New Roman"/>
          <w:bCs/>
          <w:color w:val="222222"/>
          <w:sz w:val="24"/>
          <w:szCs w:val="24"/>
          <w:lang w:eastAsia="es-MX"/>
        </w:rPr>
        <w:t>el r</w:t>
      </w:r>
      <w:r w:rsidRPr="003D0195">
        <w:rPr>
          <w:rFonts w:ascii="Palatino Linotype" w:eastAsia="Times New Roman" w:hAnsi="Palatino Linotype" w:cs="Times New Roman"/>
          <w:bCs/>
          <w:color w:val="222222"/>
          <w:sz w:val="24"/>
          <w:szCs w:val="24"/>
          <w:lang w:eastAsia="es-MX"/>
        </w:rPr>
        <w:t>ecurrente</w:t>
      </w:r>
      <w:r>
        <w:rPr>
          <w:rFonts w:ascii="Palatino Linotype" w:eastAsia="Times New Roman" w:hAnsi="Palatino Linotype" w:cs="Times New Roman"/>
          <w:color w:val="222222"/>
          <w:sz w:val="24"/>
          <w:szCs w:val="24"/>
          <w:lang w:eastAsia="es-MX"/>
        </w:rPr>
        <w:t xml:space="preserve"> </w:t>
      </w:r>
      <w:r w:rsidRPr="003D0195">
        <w:rPr>
          <w:rFonts w:ascii="Palatino Linotype" w:eastAsia="Times New Roman" w:hAnsi="Palatino Linotype" w:cs="Times New Roman"/>
          <w:color w:val="222222"/>
          <w:sz w:val="24"/>
          <w:szCs w:val="24"/>
          <w:lang w:eastAsia="es-MX"/>
        </w:rPr>
        <w:t xml:space="preserve">amplíe su solicitud en el recurso de revisión, lo cual no fue </w:t>
      </w:r>
      <w:r w:rsidRPr="003D0195">
        <w:rPr>
          <w:rFonts w:ascii="Palatino Linotype" w:eastAsia="Times New Roman" w:hAnsi="Palatino Linotype" w:cs="Times New Roman"/>
          <w:color w:val="222222"/>
          <w:sz w:val="24"/>
          <w:szCs w:val="24"/>
          <w:lang w:eastAsia="es-MX"/>
        </w:rPr>
        <w:lastRenderedPageBreak/>
        <w:t xml:space="preserve">materia de su solicitud de origen; por lo que en el presente caso se actualiza </w:t>
      </w:r>
      <w:r>
        <w:rPr>
          <w:rFonts w:ascii="Palatino Linotype" w:eastAsia="Times New Roman" w:hAnsi="Palatino Linotype" w:cs="Times New Roman"/>
          <w:color w:val="222222"/>
          <w:sz w:val="24"/>
          <w:szCs w:val="24"/>
          <w:lang w:eastAsia="es-MX"/>
        </w:rPr>
        <w:t xml:space="preserve">tal circunstancia, toda vez que </w:t>
      </w:r>
      <w:r>
        <w:rPr>
          <w:rFonts w:ascii="Palatino Linotype" w:eastAsia="Times New Roman" w:hAnsi="Palatino Linotype" w:cs="Times New Roman"/>
          <w:bCs/>
          <w:color w:val="222222"/>
          <w:sz w:val="24"/>
          <w:szCs w:val="24"/>
          <w:lang w:eastAsia="es-MX"/>
        </w:rPr>
        <w:t xml:space="preserve">la recurrente </w:t>
      </w:r>
      <w:r w:rsidRPr="003D0195">
        <w:rPr>
          <w:rFonts w:ascii="Palatino Linotype" w:eastAsia="Times New Roman" w:hAnsi="Palatino Linotype" w:cs="Times New Roman"/>
          <w:color w:val="222222"/>
          <w:sz w:val="24"/>
          <w:szCs w:val="24"/>
          <w:lang w:eastAsia="es-MX"/>
        </w:rPr>
        <w:t>añade nuevos puntos de solicitud, como lo que fue referido con antelación y que no fueron requeridos en la solicitud primigenia, por lo tanto, no son de atenderse en este momento procesal, dejándose a salvo sus derechos para que en diversa solicitud los haga valer.</w:t>
      </w:r>
    </w:p>
    <w:p w:rsidR="00A12CED" w:rsidRPr="003D0195" w:rsidRDefault="00A12CED" w:rsidP="00A12CED">
      <w:pPr>
        <w:shd w:val="clear" w:color="auto" w:fill="FFFFFF"/>
        <w:spacing w:after="0" w:line="360" w:lineRule="auto"/>
        <w:jc w:val="both"/>
        <w:rPr>
          <w:rFonts w:ascii="Palatino Linotype" w:eastAsia="Times New Roman" w:hAnsi="Palatino Linotype" w:cs="Times New Roman"/>
          <w:color w:val="222222"/>
          <w:sz w:val="24"/>
          <w:szCs w:val="24"/>
          <w:lang w:eastAsia="es-MX"/>
        </w:rPr>
      </w:pPr>
    </w:p>
    <w:p w:rsidR="00A12CED" w:rsidRDefault="00A12CED" w:rsidP="00A12CED">
      <w:pPr>
        <w:shd w:val="clear" w:color="auto" w:fill="FFFFFF"/>
        <w:spacing w:after="0" w:line="360" w:lineRule="auto"/>
        <w:jc w:val="both"/>
        <w:rPr>
          <w:rFonts w:ascii="Palatino Linotype" w:eastAsia="Times New Roman" w:hAnsi="Palatino Linotype" w:cs="Times New Roman"/>
          <w:color w:val="000000"/>
          <w:sz w:val="24"/>
          <w:szCs w:val="24"/>
          <w:lang w:eastAsia="es-MX"/>
        </w:rPr>
      </w:pPr>
      <w:r w:rsidRPr="003D0195">
        <w:rPr>
          <w:rFonts w:ascii="Palatino Linotype" w:eastAsia="Times New Roman" w:hAnsi="Palatino Linotype" w:cs="Times New Roman"/>
          <w:color w:val="222222"/>
          <w:sz w:val="24"/>
          <w:szCs w:val="24"/>
          <w:lang w:eastAsia="es-MX"/>
        </w:rPr>
        <w:t>Por lo anterior</w:t>
      </w:r>
      <w:r w:rsidR="000A0AC2">
        <w:rPr>
          <w:rFonts w:ascii="Palatino Linotype" w:eastAsia="Times New Roman" w:hAnsi="Palatino Linotype" w:cs="Times New Roman"/>
          <w:color w:val="000000"/>
          <w:sz w:val="24"/>
          <w:szCs w:val="24"/>
          <w:lang w:eastAsia="es-MX"/>
        </w:rPr>
        <w:t>, resulta claro que la</w:t>
      </w:r>
      <w:r w:rsidRPr="0059250C">
        <w:rPr>
          <w:rFonts w:ascii="Palatino Linotype" w:eastAsia="Times New Roman" w:hAnsi="Palatino Linotype" w:cs="Times New Roman"/>
          <w:color w:val="000000"/>
          <w:sz w:val="24"/>
          <w:szCs w:val="24"/>
          <w:lang w:eastAsia="es-MX"/>
        </w:rPr>
        <w:t xml:space="preserve"> recurrente </w:t>
      </w:r>
      <w:r w:rsidRPr="003D0195">
        <w:rPr>
          <w:rFonts w:ascii="Palatino Linotype" w:eastAsia="Times New Roman" w:hAnsi="Palatino Linotype" w:cs="Times New Roman"/>
          <w:color w:val="000000"/>
          <w:sz w:val="24"/>
          <w:szCs w:val="24"/>
          <w:lang w:eastAsia="es-MX"/>
        </w:rPr>
        <w:t>pretende ampliar los alcances de la solicitud de información. Por lo que en términ</w:t>
      </w:r>
      <w:r w:rsidR="000A0AC2">
        <w:rPr>
          <w:rFonts w:ascii="Palatino Linotype" w:eastAsia="Times New Roman" w:hAnsi="Palatino Linotype" w:cs="Times New Roman"/>
          <w:color w:val="000000"/>
          <w:sz w:val="24"/>
          <w:szCs w:val="24"/>
          <w:lang w:eastAsia="es-MX"/>
        </w:rPr>
        <w:t>os del artículo 36, fracción II</w:t>
      </w:r>
      <w:r w:rsidRPr="003D0195">
        <w:rPr>
          <w:rFonts w:ascii="Palatino Linotype" w:eastAsia="Times New Roman" w:hAnsi="Palatino Linotype" w:cs="Times New Roman"/>
          <w:color w:val="000000"/>
          <w:sz w:val="24"/>
          <w:szCs w:val="24"/>
          <w:lang w:eastAsia="es-MX"/>
        </w:rPr>
        <w:t xml:space="preserve"> de la Ley de la materia, este Instituto no está facultado para resolver con respecto a ampliaciones a solicitudes de información presentadas por medios distintos a los que señala el artículo 155 de la Ley de la materia, </w:t>
      </w:r>
      <w:r>
        <w:rPr>
          <w:rFonts w:ascii="Palatino Linotype" w:eastAsia="Times New Roman" w:hAnsi="Palatino Linotype" w:cs="Times New Roman"/>
          <w:color w:val="000000"/>
          <w:sz w:val="24"/>
          <w:szCs w:val="24"/>
          <w:lang w:eastAsia="es-MX"/>
        </w:rPr>
        <w:t>ya</w:t>
      </w:r>
      <w:r w:rsidRPr="003D0195">
        <w:rPr>
          <w:rFonts w:ascii="Palatino Linotype" w:eastAsia="Times New Roman" w:hAnsi="Palatino Linotype" w:cs="Times New Roman"/>
          <w:color w:val="000000"/>
          <w:sz w:val="24"/>
          <w:szCs w:val="24"/>
          <w:lang w:eastAsia="es-MX"/>
        </w:rPr>
        <w:t xml:space="preserve"> que el recurso de revisión no constituye un medio válido para solicitar información adicional.</w:t>
      </w:r>
    </w:p>
    <w:p w:rsidR="00A12CED" w:rsidRPr="003D0195" w:rsidRDefault="00A12CED" w:rsidP="00A12CED">
      <w:pPr>
        <w:shd w:val="clear" w:color="auto" w:fill="FFFFFF"/>
        <w:spacing w:after="0" w:line="360" w:lineRule="auto"/>
        <w:jc w:val="both"/>
        <w:rPr>
          <w:rFonts w:ascii="Palatino Linotype" w:eastAsia="Times New Roman" w:hAnsi="Palatino Linotype" w:cs="Times New Roman"/>
          <w:color w:val="222222"/>
          <w:sz w:val="24"/>
          <w:szCs w:val="24"/>
          <w:lang w:eastAsia="es-MX"/>
        </w:rPr>
      </w:pPr>
    </w:p>
    <w:p w:rsidR="00A12CED" w:rsidRPr="003D0195" w:rsidRDefault="00A12CED" w:rsidP="00A12CED">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3D0195">
        <w:rPr>
          <w:rFonts w:ascii="Palatino Linotype" w:eastAsia="Times New Roman" w:hAnsi="Palatino Linotype" w:cs="Times New Roman"/>
          <w:color w:val="000000"/>
          <w:sz w:val="24"/>
          <w:szCs w:val="24"/>
          <w:lang w:eastAsia="es-MX"/>
        </w:rPr>
        <w:t>Sirve de apoyo a lo anterior por analogía, la Jurisprudencia No. 29 visible a foja 19 del Apéndice al Semanario Judicial de la Federación 1917-1995, Torno VI, Materia Común, Primera Parte, Tesis de la Suprema Corte de Justicia, que señala:</w:t>
      </w:r>
    </w:p>
    <w:p w:rsidR="00A12CED" w:rsidRDefault="00A12CED" w:rsidP="00A12CED">
      <w:pPr>
        <w:shd w:val="clear" w:color="auto" w:fill="FFFFFF"/>
        <w:spacing w:before="240" w:after="240" w:line="240" w:lineRule="auto"/>
        <w:ind w:left="851" w:right="850"/>
        <w:jc w:val="both"/>
        <w:rPr>
          <w:rFonts w:ascii="Palatino Linotype" w:eastAsia="Times New Roman" w:hAnsi="Palatino Linotype" w:cs="Times New Roman"/>
          <w:b/>
          <w:bCs/>
          <w:i/>
          <w:color w:val="000000"/>
          <w:lang w:eastAsia="es-MX"/>
        </w:rPr>
      </w:pPr>
      <w:r w:rsidRPr="003D0195">
        <w:rPr>
          <w:rFonts w:ascii="Palatino Linotype" w:eastAsia="Times New Roman" w:hAnsi="Palatino Linotype" w:cs="Times New Roman"/>
          <w:b/>
          <w:bCs/>
          <w:i/>
          <w:color w:val="000000"/>
          <w:lang w:eastAsia="es-MX"/>
        </w:rPr>
        <w:t>"</w:t>
      </w:r>
      <w:r w:rsidRPr="003D0195">
        <w:rPr>
          <w:rFonts w:ascii="Palatino Linotype" w:eastAsia="Times New Roman" w:hAnsi="Palatino Linotype" w:cs="Times New Roman"/>
          <w:i/>
          <w:iCs/>
          <w:color w:val="000000"/>
          <w:lang w:eastAsia="es-MX"/>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3D0195">
        <w:rPr>
          <w:rFonts w:ascii="Palatino Linotype" w:eastAsia="Times New Roman" w:hAnsi="Palatino Linotype" w:cs="Times New Roman"/>
          <w:b/>
          <w:bCs/>
          <w:i/>
          <w:color w:val="000000"/>
          <w:lang w:eastAsia="es-MX"/>
        </w:rPr>
        <w:t>"</w:t>
      </w:r>
    </w:p>
    <w:p w:rsidR="00A12CED" w:rsidRPr="003D0195" w:rsidRDefault="00A12CED" w:rsidP="00A12CED">
      <w:pPr>
        <w:shd w:val="clear" w:color="auto" w:fill="FFFFFF"/>
        <w:spacing w:before="240" w:after="240" w:line="240" w:lineRule="auto"/>
        <w:ind w:left="851" w:right="850"/>
        <w:jc w:val="both"/>
        <w:rPr>
          <w:rFonts w:ascii="Palatino Linotype" w:eastAsia="Times New Roman" w:hAnsi="Palatino Linotype" w:cs="Times New Roman"/>
          <w:i/>
          <w:color w:val="222222"/>
          <w:lang w:eastAsia="es-MX"/>
        </w:rPr>
      </w:pPr>
    </w:p>
    <w:p w:rsidR="00A12CED" w:rsidRDefault="00A12CED" w:rsidP="00A12CED">
      <w:pPr>
        <w:shd w:val="clear" w:color="auto" w:fill="FFFFFF"/>
        <w:spacing w:after="0" w:line="360" w:lineRule="auto"/>
        <w:jc w:val="both"/>
        <w:rPr>
          <w:rFonts w:ascii="Palatino Linotype" w:eastAsia="Times New Roman" w:hAnsi="Palatino Linotype" w:cs="Times New Roman"/>
          <w:color w:val="000000"/>
          <w:sz w:val="24"/>
          <w:szCs w:val="24"/>
          <w:lang w:eastAsia="es-MX"/>
        </w:rPr>
      </w:pPr>
      <w:r>
        <w:rPr>
          <w:rFonts w:ascii="Palatino Linotype" w:eastAsia="Times New Roman" w:hAnsi="Palatino Linotype" w:cs="Times New Roman"/>
          <w:color w:val="000000"/>
          <w:sz w:val="24"/>
          <w:szCs w:val="24"/>
          <w:lang w:eastAsia="es-MX"/>
        </w:rPr>
        <w:lastRenderedPageBreak/>
        <w:t>En ese orden de ideas</w:t>
      </w:r>
      <w:r w:rsidRPr="003D0195">
        <w:rPr>
          <w:rFonts w:ascii="Palatino Linotype" w:eastAsia="Times New Roman" w:hAnsi="Palatino Linotype" w:cs="Times New Roman"/>
          <w:color w:val="000000"/>
          <w:sz w:val="24"/>
          <w:szCs w:val="24"/>
          <w:lang w:eastAsia="es-MX"/>
        </w:rPr>
        <w:t>, se establece que dentro del rec</w:t>
      </w:r>
      <w:r>
        <w:rPr>
          <w:rFonts w:ascii="Palatino Linotype" w:eastAsia="Times New Roman" w:hAnsi="Palatino Linotype" w:cs="Times New Roman"/>
          <w:color w:val="000000"/>
          <w:sz w:val="24"/>
          <w:szCs w:val="24"/>
          <w:lang w:eastAsia="es-MX"/>
        </w:rPr>
        <w:t>ur</w:t>
      </w:r>
      <w:r w:rsidR="007F1B96">
        <w:rPr>
          <w:rFonts w:ascii="Palatino Linotype" w:eastAsia="Times New Roman" w:hAnsi="Palatino Linotype" w:cs="Times New Roman"/>
          <w:color w:val="000000"/>
          <w:sz w:val="24"/>
          <w:szCs w:val="24"/>
          <w:lang w:eastAsia="es-MX"/>
        </w:rPr>
        <w:t>so de revisión presentado por la</w:t>
      </w:r>
      <w:r>
        <w:rPr>
          <w:rFonts w:ascii="Palatino Linotype" w:eastAsia="Times New Roman" w:hAnsi="Palatino Linotype" w:cs="Times New Roman"/>
          <w:color w:val="000000"/>
          <w:sz w:val="24"/>
          <w:szCs w:val="24"/>
          <w:lang w:eastAsia="es-MX"/>
        </w:rPr>
        <w:t xml:space="preserve"> recurrente, </w:t>
      </w:r>
      <w:r w:rsidRPr="003D0195">
        <w:rPr>
          <w:rFonts w:ascii="Palatino Linotype" w:eastAsia="Times New Roman" w:hAnsi="Palatino Linotype" w:cs="Times New Roman"/>
          <w:color w:val="000000"/>
          <w:sz w:val="24"/>
          <w:szCs w:val="24"/>
          <w:lang w:eastAsia="es-MX"/>
        </w:rPr>
        <w:t>no debe variar el fondo de la Litis, de tal manera que la manifestación a que se ha hecho referencia y que fue vertida en sus motivos de inconformidad, resulta notoriamente improcedente, pues este Órgano Garante se encuentra imposibilitado para satisfacer requerimientos que no fueron formulados en tiempo y forma.</w:t>
      </w:r>
    </w:p>
    <w:p w:rsidR="00A12CED" w:rsidRPr="003D0195" w:rsidRDefault="00A12CED" w:rsidP="00A12CED">
      <w:pPr>
        <w:shd w:val="clear" w:color="auto" w:fill="FFFFFF"/>
        <w:spacing w:after="0" w:line="360" w:lineRule="auto"/>
        <w:jc w:val="both"/>
        <w:rPr>
          <w:rFonts w:ascii="Times New Roman" w:eastAsia="Times New Roman" w:hAnsi="Times New Roman" w:cs="Times New Roman"/>
          <w:color w:val="222222"/>
          <w:sz w:val="24"/>
          <w:szCs w:val="24"/>
          <w:lang w:eastAsia="es-MX"/>
        </w:rPr>
      </w:pPr>
    </w:p>
    <w:p w:rsidR="00A12CED" w:rsidRDefault="00A12CED" w:rsidP="00A12CED">
      <w:pPr>
        <w:shd w:val="clear" w:color="auto" w:fill="FFFFFF"/>
        <w:spacing w:after="0" w:line="360" w:lineRule="auto"/>
        <w:jc w:val="both"/>
        <w:rPr>
          <w:rFonts w:ascii="Palatino Linotype" w:eastAsia="Times New Roman" w:hAnsi="Palatino Linotype" w:cs="Times New Roman"/>
          <w:color w:val="000000"/>
          <w:sz w:val="24"/>
          <w:szCs w:val="24"/>
          <w:lang w:eastAsia="es-MX"/>
        </w:rPr>
      </w:pPr>
      <w:r w:rsidRPr="003D0195">
        <w:rPr>
          <w:rFonts w:ascii="Palatino Linotype" w:eastAsia="Times New Roman" w:hAnsi="Palatino Linotype" w:cs="Times New Roman"/>
          <w:color w:val="000000"/>
          <w:sz w:val="24"/>
          <w:szCs w:val="24"/>
          <w:lang w:eastAsia="es-MX"/>
        </w:rPr>
        <w:t>Tiene aplicación al respecto por analogía, la tesis aislada número I.8o.A.136 A, de la Novena Época, publicada en el Semanario Oficial de la Fed</w:t>
      </w:r>
      <w:r w:rsidR="00884D06">
        <w:rPr>
          <w:rFonts w:ascii="Palatino Linotype" w:eastAsia="Times New Roman" w:hAnsi="Palatino Linotype" w:cs="Times New Roman"/>
          <w:color w:val="000000"/>
          <w:sz w:val="24"/>
          <w:szCs w:val="24"/>
          <w:lang w:eastAsia="es-MX"/>
        </w:rPr>
        <w:t>eración y su Gaceta Tomo XXIX, m</w:t>
      </w:r>
      <w:r w:rsidRPr="003D0195">
        <w:rPr>
          <w:rFonts w:ascii="Palatino Linotype" w:eastAsia="Times New Roman" w:hAnsi="Palatino Linotype" w:cs="Times New Roman"/>
          <w:color w:val="000000"/>
          <w:sz w:val="24"/>
          <w:szCs w:val="24"/>
          <w:lang w:eastAsia="es-MX"/>
        </w:rPr>
        <w:t>arzo de 2009, página 2887, con número de registro 167607, que lleva por rubro y texto los siguientes:</w:t>
      </w:r>
    </w:p>
    <w:p w:rsidR="00884D06" w:rsidRPr="003D0195" w:rsidRDefault="00884D06" w:rsidP="00A12CED">
      <w:pPr>
        <w:shd w:val="clear" w:color="auto" w:fill="FFFFFF"/>
        <w:spacing w:after="0" w:line="360" w:lineRule="auto"/>
        <w:jc w:val="both"/>
        <w:rPr>
          <w:rFonts w:ascii="Times New Roman" w:eastAsia="Times New Roman" w:hAnsi="Times New Roman" w:cs="Times New Roman"/>
          <w:color w:val="222222"/>
          <w:sz w:val="24"/>
          <w:szCs w:val="24"/>
          <w:lang w:eastAsia="es-MX"/>
        </w:rPr>
      </w:pPr>
    </w:p>
    <w:p w:rsidR="00A12CED" w:rsidRPr="003D0195" w:rsidRDefault="00A12CED" w:rsidP="00A12CED">
      <w:pPr>
        <w:shd w:val="clear" w:color="auto" w:fill="FFFFFF"/>
        <w:spacing w:line="240" w:lineRule="auto"/>
        <w:ind w:left="851" w:right="850"/>
        <w:jc w:val="both"/>
        <w:rPr>
          <w:rFonts w:ascii="Times New Roman" w:eastAsia="Times New Roman" w:hAnsi="Times New Roman" w:cs="Times New Roman"/>
          <w:color w:val="222222"/>
          <w:sz w:val="24"/>
          <w:szCs w:val="24"/>
          <w:lang w:eastAsia="es-MX"/>
        </w:rPr>
      </w:pPr>
      <w:r w:rsidRPr="003D0195">
        <w:rPr>
          <w:rFonts w:ascii="Palatino Linotype" w:eastAsia="Times New Roman" w:hAnsi="Palatino Linotype" w:cs="Times New Roman"/>
          <w:b/>
          <w:bCs/>
          <w:i/>
          <w:iCs/>
          <w:color w:val="000000"/>
          <w:sz w:val="24"/>
          <w:szCs w:val="24"/>
          <w:lang w:eastAsia="es-MX"/>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A12CED" w:rsidRDefault="00A12CED" w:rsidP="00A12CED">
      <w:pPr>
        <w:shd w:val="clear" w:color="auto" w:fill="FFFFFF"/>
        <w:spacing w:line="240" w:lineRule="auto"/>
        <w:ind w:left="851" w:right="850"/>
        <w:jc w:val="both"/>
        <w:rPr>
          <w:rFonts w:ascii="Palatino Linotype" w:eastAsia="Times New Roman" w:hAnsi="Palatino Linotype" w:cs="Times New Roman"/>
          <w:i/>
          <w:iCs/>
          <w:color w:val="000000"/>
          <w:sz w:val="24"/>
          <w:szCs w:val="24"/>
          <w:lang w:eastAsia="es-MX"/>
        </w:rPr>
      </w:pPr>
      <w:r w:rsidRPr="003D0195">
        <w:rPr>
          <w:rFonts w:ascii="Palatino Linotype" w:eastAsia="Times New Roman" w:hAnsi="Palatino Linotype" w:cs="Times New Roman"/>
          <w:i/>
          <w:iCs/>
          <w:color w:val="000000"/>
          <w:sz w:val="24"/>
          <w:szCs w:val="24"/>
          <w:lang w:eastAsia="es-MX"/>
        </w:rPr>
        <w:b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w:t>
      </w:r>
      <w:r w:rsidR="00B53141">
        <w:rPr>
          <w:rFonts w:ascii="Palatino Linotype" w:eastAsia="Times New Roman" w:hAnsi="Palatino Linotype" w:cs="Times New Roman"/>
          <w:i/>
          <w:iCs/>
          <w:color w:val="000000"/>
          <w:sz w:val="24"/>
          <w:szCs w:val="24"/>
          <w:lang w:eastAsia="es-MX"/>
        </w:rPr>
        <w:t xml:space="preserve"> </w:t>
      </w:r>
      <w:r w:rsidRPr="003D0195">
        <w:rPr>
          <w:rFonts w:ascii="Palatino Linotype" w:eastAsia="Times New Roman" w:hAnsi="Palatino Linotype" w:cs="Times New Roman"/>
          <w:i/>
          <w:iCs/>
          <w:color w:val="000000"/>
          <w:sz w:val="24"/>
          <w:szCs w:val="24"/>
          <w:lang w:eastAsia="es-MX"/>
        </w:rPr>
        <w:t xml:space="preserve">de la propia legislación prevé el principio de máxima publicidad y disponibilidad de la información en posesión de los sujetos obligados; también lo es que ello </w:t>
      </w:r>
      <w:r w:rsidRPr="00B53141">
        <w:rPr>
          <w:rFonts w:ascii="Palatino Linotype" w:eastAsia="Times New Roman" w:hAnsi="Palatino Linotype" w:cs="Times New Roman"/>
          <w:b/>
          <w:i/>
          <w:iCs/>
          <w:color w:val="000000"/>
          <w:sz w:val="24"/>
          <w:szCs w:val="24"/>
          <w:lang w:eastAsia="es-MX"/>
        </w:rPr>
        <w:t xml:space="preserve">no implica que tales numerales </w:t>
      </w:r>
      <w:r w:rsidRPr="00B53141">
        <w:rPr>
          <w:rFonts w:ascii="Palatino Linotype" w:eastAsia="Times New Roman" w:hAnsi="Palatino Linotype" w:cs="Times New Roman"/>
          <w:b/>
          <w:i/>
          <w:iCs/>
          <w:color w:val="000000"/>
          <w:sz w:val="24"/>
          <w:szCs w:val="24"/>
          <w:lang w:eastAsia="es-MX"/>
        </w:rPr>
        <w:lastRenderedPageBreak/>
        <w:t>deban interpretarse en el sentido de permitir al gobernado que a su arbitrio solicite copia de documentos que no obren en los expedientes de los sujetos obligados, o sean distintos a los de su petición inicial</w:t>
      </w:r>
      <w:r w:rsidRPr="003D0195">
        <w:rPr>
          <w:rFonts w:ascii="Palatino Linotype" w:eastAsia="Times New Roman" w:hAnsi="Palatino Linotype" w:cs="Times New Roman"/>
          <w:i/>
          <w:iCs/>
          <w:color w:val="000000"/>
          <w:sz w:val="24"/>
          <w:szCs w:val="24"/>
          <w:lang w:eastAsia="es-MX"/>
        </w:rPr>
        <w:t>,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A12CED" w:rsidRDefault="00A12CED" w:rsidP="00A12CED">
      <w:pPr>
        <w:shd w:val="clear" w:color="auto" w:fill="FFFFFF"/>
        <w:spacing w:line="240" w:lineRule="auto"/>
        <w:ind w:left="851" w:right="850"/>
        <w:jc w:val="both"/>
        <w:rPr>
          <w:rFonts w:ascii="Palatino Linotype" w:eastAsia="Times New Roman" w:hAnsi="Palatino Linotype" w:cs="Times New Roman"/>
          <w:b/>
          <w:bCs/>
          <w:i/>
          <w:iCs/>
          <w:color w:val="000000"/>
          <w:sz w:val="24"/>
          <w:szCs w:val="24"/>
          <w:lang w:eastAsia="es-MX"/>
        </w:rPr>
      </w:pPr>
      <w:r w:rsidRPr="003D0195">
        <w:rPr>
          <w:rFonts w:ascii="Palatino Linotype" w:eastAsia="Times New Roman" w:hAnsi="Palatino Linotype" w:cs="Times New Roman"/>
          <w:i/>
          <w:iCs/>
          <w:color w:val="000000"/>
          <w:sz w:val="24"/>
          <w:szCs w:val="24"/>
          <w:lang w:eastAsia="es-MX"/>
        </w:rPr>
        <w:br/>
        <w:t>OCTAVO TRIBUNAL COLEGIADO EN MATERIA ADMINISTRATIVA DEL PRIMER CIRCUITO.</w:t>
      </w:r>
      <w:r w:rsidRPr="003D0195">
        <w:rPr>
          <w:rFonts w:ascii="Palatino Linotype" w:eastAsia="Times New Roman" w:hAnsi="Palatino Linotype" w:cs="Times New Roman"/>
          <w:b/>
          <w:bCs/>
          <w:i/>
          <w:iCs/>
          <w:color w:val="000000"/>
          <w:sz w:val="24"/>
          <w:szCs w:val="24"/>
          <w:lang w:eastAsia="es-MX"/>
        </w:rPr>
        <w:t>”</w:t>
      </w:r>
    </w:p>
    <w:p w:rsidR="00A12CED" w:rsidRPr="003D0195" w:rsidRDefault="00A12CED" w:rsidP="00A12CED">
      <w:pPr>
        <w:shd w:val="clear" w:color="auto" w:fill="FFFFFF"/>
        <w:spacing w:line="240" w:lineRule="auto"/>
        <w:ind w:left="851" w:right="850"/>
        <w:jc w:val="both"/>
        <w:rPr>
          <w:rFonts w:ascii="Times New Roman" w:eastAsia="Times New Roman" w:hAnsi="Times New Roman" w:cs="Times New Roman"/>
          <w:color w:val="222222"/>
          <w:sz w:val="24"/>
          <w:szCs w:val="24"/>
          <w:lang w:eastAsia="es-MX"/>
        </w:rPr>
      </w:pPr>
    </w:p>
    <w:p w:rsidR="00A12CED" w:rsidRPr="003D0195" w:rsidRDefault="00A12CED" w:rsidP="00A12CED">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r w:rsidRPr="003D0195">
        <w:rPr>
          <w:rFonts w:ascii="Palatino Linotype" w:eastAsia="Times New Roman" w:hAnsi="Palatino Linotype" w:cs="Times New Roman"/>
          <w:color w:val="000000"/>
          <w:sz w:val="24"/>
          <w:szCs w:val="24"/>
          <w:lang w:eastAsia="es-MX"/>
        </w:rPr>
        <w:t>Así mismo ha sido criterio del Instituto Nacional de Transparencia, Acceso a la Información y Protección de Datos Perso</w:t>
      </w:r>
      <w:r w:rsidRPr="0059250C">
        <w:rPr>
          <w:rFonts w:ascii="Palatino Linotype" w:eastAsia="Times New Roman" w:hAnsi="Palatino Linotype" w:cs="Times New Roman"/>
          <w:color w:val="000000"/>
          <w:sz w:val="24"/>
          <w:szCs w:val="24"/>
          <w:lang w:eastAsia="es-MX"/>
        </w:rPr>
        <w:t xml:space="preserve">nales bajo el número 27/10, que </w:t>
      </w:r>
      <w:r w:rsidRPr="003D0195">
        <w:rPr>
          <w:rFonts w:ascii="Palatino Linotype" w:eastAsia="Times New Roman" w:hAnsi="Palatino Linotype" w:cs="Times New Roman"/>
          <w:color w:val="000000"/>
          <w:sz w:val="24"/>
          <w:szCs w:val="24"/>
          <w:u w:val="single"/>
          <w:lang w:eastAsia="es-MX"/>
        </w:rPr>
        <w:t>resulta improcedente ampliar las solicitudes de información pública o de datos personales a través de la interposición del recurso de revisión</w:t>
      </w:r>
      <w:r w:rsidRPr="003D0195">
        <w:rPr>
          <w:rFonts w:ascii="Palatino Linotype" w:eastAsia="Times New Roman" w:hAnsi="Palatino Linotype" w:cs="Times New Roman"/>
          <w:color w:val="000000"/>
          <w:sz w:val="24"/>
          <w:szCs w:val="24"/>
          <w:lang w:eastAsia="es-MX"/>
        </w:rPr>
        <w:t>, como se estima acontece en el presente asunto, al aumentar datos a la solicitud inicial, </w:t>
      </w:r>
      <w:r w:rsidRPr="003D0195">
        <w:rPr>
          <w:rFonts w:ascii="Palatino Linotype" w:eastAsia="Times New Roman" w:hAnsi="Palatino Linotype" w:cs="Times New Roman"/>
          <w:b/>
          <w:bCs/>
          <w:color w:val="000000"/>
          <w:sz w:val="24"/>
          <w:szCs w:val="24"/>
          <w:lang w:eastAsia="es-MX"/>
        </w:rPr>
        <w:t>por lo que se insiste no se puede entrar al estudio de la información novedosa</w:t>
      </w:r>
      <w:r w:rsidRPr="003D0195">
        <w:rPr>
          <w:rFonts w:ascii="Palatino Linotype" w:eastAsia="Times New Roman" w:hAnsi="Palatino Linotype" w:cs="Times New Roman"/>
          <w:color w:val="000000"/>
          <w:sz w:val="24"/>
          <w:szCs w:val="24"/>
          <w:lang w:eastAsia="es-MX"/>
        </w:rPr>
        <w:t>, criterio que es de la literalidad siguiente:</w:t>
      </w:r>
    </w:p>
    <w:p w:rsidR="00A12CED" w:rsidRPr="003D0195" w:rsidRDefault="00A12CED" w:rsidP="00A12CED">
      <w:pPr>
        <w:shd w:val="clear" w:color="auto" w:fill="FFFFFF"/>
        <w:spacing w:before="240" w:after="240" w:line="288" w:lineRule="atLeast"/>
        <w:ind w:left="851" w:right="850"/>
        <w:jc w:val="both"/>
        <w:rPr>
          <w:rFonts w:ascii="Times New Roman" w:eastAsia="Times New Roman" w:hAnsi="Times New Roman" w:cs="Times New Roman"/>
          <w:color w:val="222222"/>
          <w:szCs w:val="24"/>
          <w:lang w:eastAsia="es-MX"/>
        </w:rPr>
      </w:pPr>
      <w:r w:rsidRPr="003D0195">
        <w:rPr>
          <w:rFonts w:ascii="Palatino Linotype" w:eastAsia="Times New Roman" w:hAnsi="Palatino Linotype" w:cs="Times New Roman"/>
          <w:b/>
          <w:bCs/>
          <w:i/>
          <w:iCs/>
          <w:color w:val="000000"/>
          <w:szCs w:val="24"/>
          <w:lang w:eastAsia="es-MX"/>
        </w:rPr>
        <w:t>“Es improcedente ampliar las solicitudes de acceso a información pública o datos personales, a través de la interposición del recurso de revisión.</w:t>
      </w:r>
      <w:r w:rsidRPr="003D0195">
        <w:rPr>
          <w:rFonts w:ascii="Palatino Linotype" w:eastAsia="Times New Roman" w:hAnsi="Palatino Linotype" w:cs="Times New Roman"/>
          <w:i/>
          <w:iCs/>
          <w:color w:val="000000"/>
          <w:szCs w:val="24"/>
          <w:lang w:eastAsia="es-MX"/>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A12CED" w:rsidRDefault="00A12CED" w:rsidP="00A12CED">
      <w:pPr>
        <w:shd w:val="clear" w:color="auto" w:fill="FFFFFF"/>
        <w:spacing w:before="240" w:after="240" w:line="288" w:lineRule="atLeast"/>
        <w:ind w:left="851" w:right="850"/>
        <w:jc w:val="both"/>
        <w:rPr>
          <w:rFonts w:ascii="Palatino Linotype" w:eastAsia="Times New Roman" w:hAnsi="Palatino Linotype" w:cs="Times New Roman"/>
          <w:b/>
          <w:bCs/>
          <w:i/>
          <w:iCs/>
          <w:color w:val="000000"/>
          <w:szCs w:val="24"/>
          <w:lang w:eastAsia="es-MX"/>
        </w:rPr>
      </w:pPr>
      <w:r w:rsidRPr="003D0195">
        <w:rPr>
          <w:rFonts w:ascii="Palatino Linotype" w:eastAsia="Times New Roman" w:hAnsi="Palatino Linotype" w:cs="Times New Roman"/>
          <w:i/>
          <w:iCs/>
          <w:color w:val="000000"/>
          <w:szCs w:val="24"/>
          <w:lang w:eastAsia="es-MX"/>
        </w:rPr>
        <w:t xml:space="preserve">Expedientes: 5871/08 Secretaría de Educación Pública – Alonso Gómez-Robledo Verduzco 3468/09 Instituto de Seguridad y Servicios Sociales de los Trabajadores del Estado - Ángel Trinidad Zaldívar 5417/09 Procuraduría General de la República </w:t>
      </w:r>
      <w:r w:rsidRPr="003D0195">
        <w:rPr>
          <w:rFonts w:ascii="Palatino Linotype" w:eastAsia="Times New Roman" w:hAnsi="Palatino Linotype" w:cs="Times New Roman"/>
          <w:i/>
          <w:iCs/>
          <w:color w:val="000000"/>
          <w:szCs w:val="24"/>
          <w:lang w:eastAsia="es-MX"/>
        </w:rPr>
        <w:lastRenderedPageBreak/>
        <w:t>- María Marván Laborde1523 1006/10 Instituto Mexicano del Seguro Social – Sigrid Arzt Colunga 1378/10 Instituto de Seguridad y Servicios Sociales de los Trabajadores del Estado – María Elena Pérez-Jaén Zermeño.</w:t>
      </w:r>
      <w:r w:rsidRPr="003D0195">
        <w:rPr>
          <w:rFonts w:ascii="Palatino Linotype" w:eastAsia="Times New Roman" w:hAnsi="Palatino Linotype" w:cs="Times New Roman"/>
          <w:b/>
          <w:bCs/>
          <w:i/>
          <w:iCs/>
          <w:color w:val="000000"/>
          <w:szCs w:val="24"/>
          <w:lang w:eastAsia="es-MX"/>
        </w:rPr>
        <w:t>”</w:t>
      </w:r>
    </w:p>
    <w:p w:rsidR="00A12CED" w:rsidRPr="009B5311" w:rsidRDefault="00A12CED" w:rsidP="00A12CED">
      <w:pPr>
        <w:autoSpaceDE w:val="0"/>
        <w:autoSpaceDN w:val="0"/>
        <w:adjustRightInd w:val="0"/>
        <w:spacing w:after="0" w:line="360" w:lineRule="auto"/>
        <w:jc w:val="both"/>
        <w:rPr>
          <w:rFonts w:ascii="Palatino Linotype" w:hAnsi="Palatino Linotype" w:cs="Arial"/>
          <w:sz w:val="24"/>
          <w:szCs w:val="24"/>
        </w:rPr>
      </w:pPr>
    </w:p>
    <w:p w:rsidR="0067780B" w:rsidRDefault="00A12CED" w:rsidP="00A12CE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No obstante lo anterior </w:t>
      </w:r>
      <w:r w:rsidRPr="007F1B96">
        <w:rPr>
          <w:rFonts w:ascii="Palatino Linotype" w:hAnsi="Palatino Linotype" w:cs="Arial"/>
          <w:b/>
          <w:sz w:val="24"/>
          <w:szCs w:val="24"/>
        </w:rPr>
        <w:t>el sujeto obligado</w:t>
      </w:r>
      <w:r>
        <w:rPr>
          <w:rFonts w:ascii="Palatino Linotype" w:hAnsi="Palatino Linotype" w:cs="Arial"/>
          <w:sz w:val="24"/>
          <w:szCs w:val="24"/>
        </w:rPr>
        <w:t xml:space="preserve"> en aras de garantizar el derecho de acceso a la información, adjunto tres archivos electrónicos </w:t>
      </w:r>
      <w:r w:rsidR="0067780B">
        <w:rPr>
          <w:rFonts w:ascii="Palatino Linotype" w:hAnsi="Palatino Linotype" w:cs="Arial"/>
          <w:sz w:val="24"/>
          <w:szCs w:val="24"/>
        </w:rPr>
        <w:t>en su informe justificado</w:t>
      </w:r>
      <w:r w:rsidR="0040426E">
        <w:rPr>
          <w:rFonts w:ascii="Palatino Linotype" w:hAnsi="Palatino Linotype" w:cs="Arial"/>
          <w:sz w:val="24"/>
          <w:szCs w:val="24"/>
        </w:rPr>
        <w:t>,</w:t>
      </w:r>
      <w:r w:rsidR="0040426E" w:rsidRPr="0040426E">
        <w:t xml:space="preserve"> </w:t>
      </w:r>
      <w:r w:rsidR="0040426E">
        <w:rPr>
          <w:rFonts w:ascii="Palatino Linotype" w:hAnsi="Palatino Linotype" w:cs="Arial"/>
          <w:sz w:val="24"/>
          <w:szCs w:val="24"/>
        </w:rPr>
        <w:t>el cual,</w:t>
      </w:r>
      <w:r w:rsidR="007F1B96">
        <w:rPr>
          <w:rFonts w:ascii="Palatino Linotype" w:hAnsi="Palatino Linotype" w:cs="Arial"/>
          <w:sz w:val="24"/>
          <w:szCs w:val="24"/>
        </w:rPr>
        <w:t xml:space="preserve"> fue puesto a la vista de </w:t>
      </w:r>
      <w:r w:rsidR="007F1B96" w:rsidRPr="007F1B96">
        <w:rPr>
          <w:rFonts w:ascii="Palatino Linotype" w:hAnsi="Palatino Linotype" w:cs="Arial"/>
          <w:b/>
          <w:sz w:val="24"/>
          <w:szCs w:val="24"/>
        </w:rPr>
        <w:t>la</w:t>
      </w:r>
      <w:r w:rsidR="0040426E" w:rsidRPr="007F1B96">
        <w:rPr>
          <w:rFonts w:ascii="Palatino Linotype" w:hAnsi="Palatino Linotype" w:cs="Arial"/>
          <w:b/>
          <w:sz w:val="24"/>
          <w:szCs w:val="24"/>
        </w:rPr>
        <w:t xml:space="preserve"> recurrente</w:t>
      </w:r>
      <w:r w:rsidR="0040426E" w:rsidRPr="0040426E">
        <w:rPr>
          <w:rFonts w:ascii="Palatino Linotype" w:hAnsi="Palatino Linotype" w:cs="Arial"/>
          <w:sz w:val="24"/>
          <w:szCs w:val="24"/>
        </w:rPr>
        <w:t xml:space="preserve">, debido a que aportaba nuevos elementos y </w:t>
      </w:r>
      <w:r w:rsidR="0040426E">
        <w:rPr>
          <w:rFonts w:ascii="Palatino Linotype" w:hAnsi="Palatino Linotype" w:cs="Arial"/>
          <w:sz w:val="24"/>
          <w:szCs w:val="24"/>
        </w:rPr>
        <w:t>modificaba la respuesta inicial como se puede apreciar a continuación</w:t>
      </w:r>
      <w:r w:rsidR="0067780B">
        <w:rPr>
          <w:rFonts w:ascii="Palatino Linotype" w:hAnsi="Palatino Linotype" w:cs="Arial"/>
          <w:sz w:val="24"/>
          <w:szCs w:val="24"/>
        </w:rPr>
        <w:t>:</w:t>
      </w:r>
    </w:p>
    <w:p w:rsidR="00B53141" w:rsidRDefault="00B53141" w:rsidP="00A12CED">
      <w:pPr>
        <w:autoSpaceDE w:val="0"/>
        <w:autoSpaceDN w:val="0"/>
        <w:adjustRightInd w:val="0"/>
        <w:spacing w:after="0" w:line="360" w:lineRule="auto"/>
        <w:jc w:val="both"/>
        <w:rPr>
          <w:rFonts w:ascii="Palatino Linotype" w:hAnsi="Palatino Linotype" w:cs="Arial"/>
          <w:sz w:val="24"/>
          <w:szCs w:val="24"/>
        </w:rPr>
      </w:pPr>
    </w:p>
    <w:p w:rsidR="0067780B" w:rsidRDefault="0067780B" w:rsidP="0067780B">
      <w:pPr>
        <w:pStyle w:val="Prrafodelista"/>
        <w:numPr>
          <w:ilvl w:val="0"/>
          <w:numId w:val="9"/>
        </w:numPr>
        <w:autoSpaceDE w:val="0"/>
        <w:autoSpaceDN w:val="0"/>
        <w:adjustRightInd w:val="0"/>
        <w:spacing w:line="360" w:lineRule="auto"/>
        <w:jc w:val="both"/>
        <w:rPr>
          <w:rFonts w:ascii="Palatino Linotype" w:hAnsi="Palatino Linotype" w:cs="Arial"/>
        </w:rPr>
      </w:pPr>
      <w:r w:rsidRPr="0067780B">
        <w:rPr>
          <w:rFonts w:ascii="Palatino Linotype" w:hAnsi="Palatino Linotype" w:cs="Arial"/>
        </w:rPr>
        <w:t>ANEXO 10001.pdf</w:t>
      </w:r>
      <w:r>
        <w:rPr>
          <w:rFonts w:ascii="Palatino Linotype" w:hAnsi="Palatino Linotype" w:cs="Arial"/>
        </w:rPr>
        <w:t xml:space="preserve">, archivo electrónico que contiene el oficio No. 205CE13000/1649/2018, signado por la Profra. Lucila Pérez Torrijos, Directora General de </w:t>
      </w:r>
      <w:r w:rsidR="00B53141">
        <w:rPr>
          <w:rFonts w:ascii="Palatino Linotype" w:hAnsi="Palatino Linotype" w:cs="Arial"/>
        </w:rPr>
        <w:t xml:space="preserve">Información, Planeación y Operación </w:t>
      </w:r>
      <w:r>
        <w:rPr>
          <w:rFonts w:ascii="Palatino Linotype" w:hAnsi="Palatino Linotype" w:cs="Arial"/>
        </w:rPr>
        <w:t xml:space="preserve"> y Servidora Pública Habilitada, mediante el cual informo medularmente lo que se desprende de la imagen que a continuación se inserta:</w:t>
      </w:r>
    </w:p>
    <w:p w:rsidR="0067780B" w:rsidRPr="0067780B" w:rsidRDefault="0067780B" w:rsidP="0067780B">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eastAsia="es-MX"/>
        </w:rPr>
        <w:drawing>
          <wp:inline distT="0" distB="0" distL="0" distR="0">
            <wp:extent cx="5537040" cy="1320800"/>
            <wp:effectExtent l="190500" t="190500" r="197485" b="1841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8865" cy="1323621"/>
                    </a:xfrm>
                    <a:prstGeom prst="rect">
                      <a:avLst/>
                    </a:prstGeom>
                    <a:noFill/>
                    <a:ln>
                      <a:noFill/>
                    </a:ln>
                    <a:effectLst>
                      <a:outerShdw blurRad="190500" algn="ctr" rotWithShape="0">
                        <a:prstClr val="black">
                          <a:alpha val="70000"/>
                        </a:prstClr>
                      </a:outerShdw>
                    </a:effectLst>
                  </pic:spPr>
                </pic:pic>
              </a:graphicData>
            </a:graphic>
          </wp:inline>
        </w:drawing>
      </w:r>
    </w:p>
    <w:p w:rsidR="0067780B" w:rsidRDefault="0067780B" w:rsidP="00B53141">
      <w:pPr>
        <w:pStyle w:val="Prrafodelista"/>
        <w:numPr>
          <w:ilvl w:val="0"/>
          <w:numId w:val="9"/>
        </w:numPr>
        <w:autoSpaceDE w:val="0"/>
        <w:autoSpaceDN w:val="0"/>
        <w:adjustRightInd w:val="0"/>
        <w:spacing w:after="240" w:line="360" w:lineRule="auto"/>
        <w:ind w:left="714" w:hanging="357"/>
        <w:jc w:val="both"/>
        <w:rPr>
          <w:rFonts w:ascii="Palatino Linotype" w:hAnsi="Palatino Linotype" w:cs="Arial"/>
        </w:rPr>
      </w:pPr>
      <w:r w:rsidRPr="0067780B">
        <w:rPr>
          <w:rFonts w:ascii="Palatino Linotype" w:hAnsi="Palatino Linotype" w:cs="Arial"/>
        </w:rPr>
        <w:t>.MANIFESTACIONES 6620001.pdf</w:t>
      </w:r>
      <w:r>
        <w:rPr>
          <w:rFonts w:ascii="Palatino Linotype" w:hAnsi="Palatino Linotype" w:cs="Arial"/>
        </w:rPr>
        <w:t xml:space="preserve">, </w:t>
      </w:r>
      <w:r w:rsidR="00535748">
        <w:rPr>
          <w:rFonts w:ascii="Palatino Linotype" w:hAnsi="Palatino Linotype" w:cs="Arial"/>
        </w:rPr>
        <w:t xml:space="preserve">archivo electrónico que contiene el oficio 20531A000/01876/UT/2018 </w:t>
      </w:r>
      <w:r w:rsidR="00250A03" w:rsidRPr="00250A03">
        <w:rPr>
          <w:rFonts w:ascii="Palatino Linotype" w:hAnsi="Palatino Linotype" w:cs="Arial"/>
        </w:rPr>
        <w:t xml:space="preserve">signado por Gerardo Alcántara Espinoza, Titular de la Unidad de Transparencia del sujeto obligado, y remitido a </w:t>
      </w:r>
      <w:r w:rsidR="00535748">
        <w:rPr>
          <w:rFonts w:ascii="Palatino Linotype" w:hAnsi="Palatino Linotype" w:cs="Arial"/>
        </w:rPr>
        <w:t>este Instituto</w:t>
      </w:r>
      <w:r w:rsidR="00250A03" w:rsidRPr="00250A03">
        <w:rPr>
          <w:rFonts w:ascii="Palatino Linotype" w:hAnsi="Palatino Linotype" w:cs="Arial"/>
        </w:rPr>
        <w:t>, mediante el cual medularmente informa que</w:t>
      </w:r>
      <w:r w:rsidR="00B53141">
        <w:rPr>
          <w:rFonts w:ascii="Palatino Linotype" w:hAnsi="Palatino Linotype" w:cs="Arial"/>
        </w:rPr>
        <w:t xml:space="preserve"> la educación docente, no se limita únicamente a la educación impartida en escuelas regulares, sino, también </w:t>
      </w:r>
      <w:r w:rsidR="00B53141">
        <w:rPr>
          <w:rFonts w:ascii="Palatino Linotype" w:hAnsi="Palatino Linotype" w:cs="Arial"/>
        </w:rPr>
        <w:lastRenderedPageBreak/>
        <w:t xml:space="preserve">abarca educación especial, por lo cual se le </w:t>
      </w:r>
      <w:r w:rsidR="0047128D">
        <w:rPr>
          <w:rFonts w:ascii="Palatino Linotype" w:hAnsi="Palatino Linotype" w:cs="Arial"/>
        </w:rPr>
        <w:t>notificaron</w:t>
      </w:r>
      <w:r w:rsidR="00745BFA">
        <w:rPr>
          <w:rFonts w:ascii="Palatino Linotype" w:hAnsi="Palatino Linotype" w:cs="Arial"/>
        </w:rPr>
        <w:t xml:space="preserve"> a la</w:t>
      </w:r>
      <w:r w:rsidR="00B53141">
        <w:rPr>
          <w:rFonts w:ascii="Palatino Linotype" w:hAnsi="Palatino Linotype" w:cs="Arial"/>
        </w:rPr>
        <w:t xml:space="preserve"> recurrente las convocatorias que abarcan el </w:t>
      </w:r>
      <w:r w:rsidR="0047128D">
        <w:rPr>
          <w:rFonts w:ascii="Palatino Linotype" w:hAnsi="Palatino Linotype" w:cs="Arial"/>
        </w:rPr>
        <w:t>perfil</w:t>
      </w:r>
      <w:r w:rsidR="00B53141">
        <w:rPr>
          <w:rFonts w:ascii="Palatino Linotype" w:hAnsi="Palatino Linotype" w:cs="Arial"/>
        </w:rPr>
        <w:t xml:space="preserve"> de docente en educación especial</w:t>
      </w:r>
      <w:r w:rsidR="0047128D">
        <w:rPr>
          <w:rFonts w:ascii="Palatino Linotype" w:hAnsi="Palatino Linotype" w:cs="Arial"/>
        </w:rPr>
        <w:t>, mismas que contemplan el número de vacantes existentes, argumentando que se entregaron los documentos que a la fecha obran en los archivos de la dependencia, es decir, las convocatorias para ocupar los puestos que actualmente se encuentran vacantes.</w:t>
      </w:r>
    </w:p>
    <w:p w:rsidR="00B52BA0" w:rsidRPr="0040426E" w:rsidRDefault="0024252C" w:rsidP="0040426E">
      <w:pPr>
        <w:pStyle w:val="Prrafodelista"/>
        <w:numPr>
          <w:ilvl w:val="0"/>
          <w:numId w:val="9"/>
        </w:numPr>
        <w:autoSpaceDE w:val="0"/>
        <w:autoSpaceDN w:val="0"/>
        <w:adjustRightInd w:val="0"/>
        <w:spacing w:line="360" w:lineRule="auto"/>
        <w:jc w:val="both"/>
        <w:rPr>
          <w:rFonts w:ascii="Palatino Linotype" w:hAnsi="Palatino Linotype" w:cs="Arial"/>
        </w:rPr>
      </w:pPr>
      <w:r>
        <w:rPr>
          <w:rFonts w:ascii="Palatino Linotype" w:hAnsi="Palatino Linotype" w:cs="Arial"/>
        </w:rPr>
        <w:t>.ANEXO 20001.pdf, archivo que contiene el oficio 20511A000/76022/2018, signado por el Mtro. en E.M.S. Hugo Andrés Hernández</w:t>
      </w:r>
      <w:r w:rsidR="005D7B38">
        <w:rPr>
          <w:rFonts w:ascii="Palatino Linotype" w:hAnsi="Palatino Linotype" w:cs="Arial"/>
        </w:rPr>
        <w:t xml:space="preserve"> Vargas, Director General de Educación Básica</w:t>
      </w:r>
      <w:r w:rsidR="0040426E">
        <w:rPr>
          <w:rFonts w:ascii="Palatino Linotype" w:hAnsi="Palatino Linotype" w:cs="Arial"/>
        </w:rPr>
        <w:t xml:space="preserve">, y remitido al Lic. Gerardo Alcántara Espinoza, Titular de la Unidad de Transparencia de la Secretaría de Educación, mediante el cual le informa que </w:t>
      </w:r>
      <w:r w:rsidR="0040426E" w:rsidRPr="0040426E">
        <w:rPr>
          <w:rFonts w:ascii="Palatino Linotype" w:hAnsi="Palatino Linotype" w:cs="Arial"/>
          <w:b/>
        </w:rPr>
        <w:t>no se cuenta con ninguna vacante, tanto temporal como definitiva en trabajo social, C.A.M. y U.S.A.E.R. dentro del Subsistema Educativo Estatal, toda vez que las plazas disponibles, se cubren al inicio del ciclo escolar</w:t>
      </w:r>
      <w:r w:rsidR="0040426E">
        <w:rPr>
          <w:rFonts w:ascii="Palatino Linotype" w:hAnsi="Palatino Linotype" w:cs="Arial"/>
        </w:rPr>
        <w:t>, con las propuestas de las Subdirecciones Regionales de Educación Básica de la Entidad.</w:t>
      </w:r>
    </w:p>
    <w:p w:rsidR="00665363" w:rsidRDefault="00665363" w:rsidP="003C63D5">
      <w:pPr>
        <w:pStyle w:val="Prrafodelista"/>
        <w:autoSpaceDE w:val="0"/>
        <w:autoSpaceDN w:val="0"/>
        <w:adjustRightInd w:val="0"/>
        <w:spacing w:line="360" w:lineRule="auto"/>
        <w:ind w:left="0"/>
        <w:jc w:val="both"/>
        <w:rPr>
          <w:rFonts w:ascii="Palatino Linotype" w:hAnsi="Palatino Linotype" w:cs="Arial"/>
        </w:rPr>
      </w:pPr>
    </w:p>
    <w:p w:rsidR="0027226B" w:rsidRPr="00FF147B" w:rsidRDefault="00C47AC3" w:rsidP="0027226B">
      <w:pPr>
        <w:autoSpaceDE w:val="0"/>
        <w:autoSpaceDN w:val="0"/>
        <w:adjustRightInd w:val="0"/>
        <w:spacing w:after="0" w:line="360" w:lineRule="auto"/>
        <w:jc w:val="both"/>
        <w:rPr>
          <w:rFonts w:ascii="Palatino Linotype" w:hAnsi="Palatino Linotype" w:cs="Arial"/>
          <w:sz w:val="24"/>
          <w:szCs w:val="24"/>
        </w:rPr>
      </w:pPr>
      <w:r w:rsidRPr="00FF147B">
        <w:rPr>
          <w:rFonts w:ascii="Palatino Linotype" w:hAnsi="Palatino Linotype" w:cs="Arial"/>
          <w:sz w:val="24"/>
          <w:szCs w:val="24"/>
        </w:rPr>
        <w:t>V</w:t>
      </w:r>
      <w:r w:rsidR="005E1DA9" w:rsidRPr="00FF147B">
        <w:rPr>
          <w:rFonts w:ascii="Palatino Linotype" w:hAnsi="Palatino Linotype" w:cs="Arial"/>
          <w:sz w:val="24"/>
          <w:szCs w:val="24"/>
        </w:rPr>
        <w:t>isto el contenido de los</w:t>
      </w:r>
      <w:r w:rsidRPr="00FF147B">
        <w:rPr>
          <w:rFonts w:ascii="Palatino Linotype" w:hAnsi="Palatino Linotype" w:cs="Arial"/>
          <w:sz w:val="24"/>
          <w:szCs w:val="24"/>
        </w:rPr>
        <w:t xml:space="preserve"> archivo</w:t>
      </w:r>
      <w:r w:rsidR="005E1DA9" w:rsidRPr="00FF147B">
        <w:rPr>
          <w:rFonts w:ascii="Palatino Linotype" w:hAnsi="Palatino Linotype" w:cs="Arial"/>
          <w:sz w:val="24"/>
          <w:szCs w:val="24"/>
        </w:rPr>
        <w:t>s</w:t>
      </w:r>
      <w:r w:rsidR="00181833" w:rsidRPr="00FF147B">
        <w:rPr>
          <w:rFonts w:ascii="Palatino Linotype" w:hAnsi="Palatino Linotype" w:cs="Arial"/>
          <w:sz w:val="24"/>
          <w:szCs w:val="24"/>
        </w:rPr>
        <w:t xml:space="preserve"> remitido</w:t>
      </w:r>
      <w:r w:rsidR="005E1DA9" w:rsidRPr="00FF147B">
        <w:rPr>
          <w:rFonts w:ascii="Palatino Linotype" w:hAnsi="Palatino Linotype" w:cs="Arial"/>
          <w:sz w:val="24"/>
          <w:szCs w:val="24"/>
        </w:rPr>
        <w:t>s</w:t>
      </w:r>
      <w:r w:rsidRPr="00FF147B">
        <w:rPr>
          <w:rFonts w:ascii="Palatino Linotype" w:hAnsi="Palatino Linotype" w:cs="Arial"/>
          <w:sz w:val="24"/>
          <w:szCs w:val="24"/>
        </w:rPr>
        <w:t xml:space="preserve"> por </w:t>
      </w:r>
      <w:r w:rsidRPr="004F7335">
        <w:rPr>
          <w:rFonts w:ascii="Palatino Linotype" w:hAnsi="Palatino Linotype" w:cs="Arial"/>
          <w:b/>
          <w:sz w:val="24"/>
          <w:szCs w:val="24"/>
        </w:rPr>
        <w:t>el</w:t>
      </w:r>
      <w:r w:rsidRPr="00FF147B">
        <w:rPr>
          <w:rFonts w:ascii="Palatino Linotype" w:hAnsi="Palatino Linotype" w:cs="Arial"/>
          <w:sz w:val="24"/>
          <w:szCs w:val="24"/>
        </w:rPr>
        <w:t xml:space="preserve"> </w:t>
      </w:r>
      <w:r w:rsidRPr="00FF147B">
        <w:rPr>
          <w:rFonts w:ascii="Palatino Linotype" w:hAnsi="Palatino Linotype" w:cs="Arial"/>
          <w:b/>
          <w:sz w:val="24"/>
          <w:szCs w:val="24"/>
        </w:rPr>
        <w:t xml:space="preserve">sujeto obligado, </w:t>
      </w:r>
      <w:r w:rsidRPr="00FF147B">
        <w:rPr>
          <w:rFonts w:ascii="Palatino Linotype" w:hAnsi="Palatino Linotype" w:cs="Arial"/>
          <w:sz w:val="24"/>
          <w:szCs w:val="24"/>
        </w:rPr>
        <w:t>en su informe justificado, se puede concluir que los</w:t>
      </w:r>
      <w:r w:rsidR="00181833" w:rsidRPr="00FF147B">
        <w:rPr>
          <w:rFonts w:ascii="Palatino Linotype" w:hAnsi="Palatino Linotype" w:cs="Arial"/>
          <w:sz w:val="24"/>
          <w:szCs w:val="24"/>
        </w:rPr>
        <w:t xml:space="preserve"> documentos contenidos en el mismo</w:t>
      </w:r>
      <w:r w:rsidRPr="00FF147B">
        <w:rPr>
          <w:rFonts w:ascii="Palatino Linotype" w:hAnsi="Palatino Linotype" w:cs="Arial"/>
          <w:sz w:val="24"/>
          <w:szCs w:val="24"/>
        </w:rPr>
        <w:t xml:space="preserve"> colman</w:t>
      </w:r>
      <w:r w:rsidR="005E1DA9" w:rsidRPr="00FF147B">
        <w:rPr>
          <w:rFonts w:ascii="Palatino Linotype" w:hAnsi="Palatino Linotype" w:cs="Arial"/>
          <w:sz w:val="24"/>
          <w:szCs w:val="24"/>
        </w:rPr>
        <w:t xml:space="preserve"> </w:t>
      </w:r>
      <w:r w:rsidR="004F7335">
        <w:rPr>
          <w:rFonts w:ascii="Palatino Linotype" w:hAnsi="Palatino Linotype" w:cs="Arial"/>
          <w:sz w:val="24"/>
          <w:szCs w:val="24"/>
        </w:rPr>
        <w:t xml:space="preserve">los requerimientos de </w:t>
      </w:r>
      <w:r w:rsidR="004F7335" w:rsidRPr="004F7335">
        <w:rPr>
          <w:rFonts w:ascii="Palatino Linotype" w:hAnsi="Palatino Linotype" w:cs="Arial"/>
          <w:b/>
          <w:sz w:val="24"/>
          <w:szCs w:val="24"/>
        </w:rPr>
        <w:t>la</w:t>
      </w:r>
      <w:r w:rsidR="0040426E" w:rsidRPr="004F7335">
        <w:rPr>
          <w:rFonts w:ascii="Palatino Linotype" w:hAnsi="Palatino Linotype" w:cs="Arial"/>
          <w:b/>
          <w:sz w:val="24"/>
          <w:szCs w:val="24"/>
        </w:rPr>
        <w:t xml:space="preserve"> recurrente</w:t>
      </w:r>
      <w:r w:rsidR="005E1DA9" w:rsidRPr="00FF147B">
        <w:rPr>
          <w:rFonts w:ascii="Palatino Linotype" w:hAnsi="Palatino Linotype" w:cs="Arial"/>
          <w:sz w:val="24"/>
          <w:szCs w:val="24"/>
        </w:rPr>
        <w:t xml:space="preserve">, toda vez que si bien, </w:t>
      </w:r>
      <w:r w:rsidR="00B9044E" w:rsidRPr="00FF147B">
        <w:rPr>
          <w:rFonts w:ascii="Palatino Linotype" w:hAnsi="Palatino Linotype" w:cs="Arial"/>
          <w:sz w:val="24"/>
          <w:szCs w:val="24"/>
        </w:rPr>
        <w:t xml:space="preserve">la Coordinación Estatal del Servicio Profesional Docente manifestó que la categoría de trabajador social no es objeto del Servicio Profesional Docente, por lo cual no se dispone de dicha información, y a su vez, sugiere dirigir la petición a la Dirección General de Educación Básica para el Subsistema Estatal y los Servicios Educativos Integrados al Estado de México, en un ofició de fecha posterior de dicha Dirección General de Educación </w:t>
      </w:r>
      <w:r w:rsidR="00B9044E" w:rsidRPr="00FF147B">
        <w:rPr>
          <w:rFonts w:ascii="Palatino Linotype" w:hAnsi="Palatino Linotype" w:cs="Arial"/>
          <w:sz w:val="24"/>
          <w:szCs w:val="24"/>
        </w:rPr>
        <w:lastRenderedPageBreak/>
        <w:t xml:space="preserve">Básica, se informó al recurrente que </w:t>
      </w:r>
      <w:r w:rsidR="0027226B" w:rsidRPr="00FF147B">
        <w:rPr>
          <w:rFonts w:ascii="Palatino Linotype" w:hAnsi="Palatino Linotype" w:cs="Arial"/>
          <w:sz w:val="24"/>
          <w:szCs w:val="24"/>
        </w:rPr>
        <w:t>no se cuenta con ninguna vacante, tanto temporal como definitiva en trabajo social, C.A.M. y U.S.A.E.R. dentro del Subsistema Educativo Estatal, toda vez que las plazas disponibles, se cubren al inicio del ciclo escolar, lo que se traduce en una expresión que se refiere a un hecho negativo, por tanto, dicha información no puede fácticamente obrar en los archivos del sujeto obligado, ya que no puede probarse por ser l</w:t>
      </w:r>
      <w:r w:rsidR="002D5CB7" w:rsidRPr="00FF147B">
        <w:rPr>
          <w:rFonts w:ascii="Palatino Linotype" w:hAnsi="Palatino Linotype" w:cs="Arial"/>
          <w:sz w:val="24"/>
          <w:szCs w:val="24"/>
        </w:rPr>
        <w:t>ógica y materialmente imposible</w:t>
      </w:r>
      <w:r w:rsidR="0027226B" w:rsidRPr="00FF147B">
        <w:rPr>
          <w:rFonts w:ascii="Palatino Linotype" w:hAnsi="Palatino Linotype" w:cs="Arial"/>
          <w:sz w:val="24"/>
          <w:szCs w:val="24"/>
        </w:rPr>
        <w:t>.</w:t>
      </w:r>
    </w:p>
    <w:p w:rsidR="0027226B" w:rsidRDefault="0027226B" w:rsidP="0027226B">
      <w:pPr>
        <w:autoSpaceDE w:val="0"/>
        <w:autoSpaceDN w:val="0"/>
        <w:adjustRightInd w:val="0"/>
        <w:spacing w:after="0" w:line="360" w:lineRule="auto"/>
        <w:jc w:val="both"/>
        <w:rPr>
          <w:rFonts w:ascii="Palatino Linotype" w:hAnsi="Palatino Linotype" w:cs="Arial"/>
          <w:sz w:val="24"/>
          <w:szCs w:val="24"/>
        </w:rPr>
      </w:pPr>
    </w:p>
    <w:p w:rsidR="0027226B" w:rsidRDefault="0027226B" w:rsidP="0027226B">
      <w:pPr>
        <w:pStyle w:val="Sinespaciado"/>
        <w:spacing w:before="120" w:after="120" w:line="360" w:lineRule="auto"/>
        <w:jc w:val="both"/>
        <w:rPr>
          <w:rFonts w:ascii="Palatino Linotype" w:hAnsi="Palatino Linotype" w:cs="Arial"/>
          <w:lang w:eastAsia="es-MX"/>
        </w:rPr>
      </w:pPr>
      <w:r>
        <w:rPr>
          <w:rFonts w:ascii="Palatino Linotype" w:hAnsi="Palatino Linotype" w:cs="Arial"/>
          <w:lang w:eastAsia="es-MX"/>
        </w:rPr>
        <w:t>Aunado a lo anterior,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27226B" w:rsidRDefault="0027226B" w:rsidP="0027226B">
      <w:pPr>
        <w:spacing w:before="120" w:after="120" w:line="360" w:lineRule="auto"/>
        <w:jc w:val="both"/>
        <w:rPr>
          <w:rFonts w:ascii="Palatino Linotype" w:hAnsi="Palatino Linotype" w:cs="Arial"/>
          <w:sz w:val="24"/>
          <w:szCs w:val="24"/>
          <w:lang w:eastAsia="es-MX"/>
        </w:rPr>
      </w:pPr>
    </w:p>
    <w:p w:rsidR="0027226B" w:rsidRDefault="0027226B" w:rsidP="0027226B">
      <w:pPr>
        <w:spacing w:before="120" w:after="120" w:line="240" w:lineRule="auto"/>
        <w:ind w:left="851" w:right="851"/>
        <w:jc w:val="both"/>
        <w:rPr>
          <w:rFonts w:ascii="Palatino Linotype" w:hAnsi="Palatino Linotype" w:cs="Arial"/>
          <w:i/>
          <w:sz w:val="24"/>
          <w:szCs w:val="24"/>
          <w:lang w:eastAsia="es-MX"/>
        </w:rPr>
      </w:pPr>
      <w:r>
        <w:rPr>
          <w:rFonts w:ascii="Palatino Linotype" w:hAnsi="Palatino Linotype" w:cs="Arial"/>
          <w:b/>
          <w:i/>
          <w:sz w:val="24"/>
          <w:szCs w:val="24"/>
          <w:lang w:eastAsia="es-MX"/>
        </w:rPr>
        <w:t>HECHOS NEGATIVOS, NO SON SUSCEPTIBLES DE DEMOSTRACIÓN</w:t>
      </w:r>
      <w:r>
        <w:rPr>
          <w:rFonts w:ascii="Palatino Linotype" w:hAnsi="Palatino Linotype" w:cs="Arial"/>
          <w:i/>
          <w:sz w:val="24"/>
          <w:szCs w:val="24"/>
          <w:lang w:eastAsia="es-MX"/>
        </w:rPr>
        <w:t xml:space="preserve">. </w:t>
      </w:r>
    </w:p>
    <w:p w:rsidR="0027226B" w:rsidRDefault="0027226B" w:rsidP="0027226B">
      <w:pPr>
        <w:spacing w:after="0" w:line="240" w:lineRule="auto"/>
        <w:ind w:left="851" w:right="851"/>
        <w:jc w:val="both"/>
        <w:rPr>
          <w:rFonts w:ascii="Palatino Linotype" w:hAnsi="Palatino Linotype" w:cs="Arial"/>
          <w:i/>
          <w:sz w:val="24"/>
          <w:szCs w:val="24"/>
          <w:lang w:eastAsia="es-MX"/>
        </w:rPr>
      </w:pPr>
      <w:r>
        <w:rPr>
          <w:rFonts w:ascii="Palatino Linotype" w:hAnsi="Palatino Linotype" w:cs="Arial"/>
          <w:i/>
          <w:sz w:val="24"/>
          <w:szCs w:val="24"/>
          <w:lang w:eastAsia="es-MX"/>
        </w:rPr>
        <w:t>Tratándose de un hecho negativo, el Juez no tiene por qué invocar prueba alguna de la que se desprenda, ya que es bien sabido que esta clase de hechos no son susceptibles de demostración.</w:t>
      </w:r>
    </w:p>
    <w:p w:rsidR="0027226B" w:rsidRDefault="0027226B" w:rsidP="0027226B">
      <w:pPr>
        <w:spacing w:after="0" w:line="240" w:lineRule="auto"/>
        <w:ind w:left="851" w:right="851"/>
        <w:jc w:val="both"/>
        <w:rPr>
          <w:rFonts w:ascii="Palatino Linotype" w:hAnsi="Palatino Linotype" w:cs="Arial"/>
          <w:i/>
          <w:sz w:val="24"/>
          <w:szCs w:val="24"/>
          <w:lang w:eastAsia="es-MX"/>
        </w:rPr>
      </w:pPr>
    </w:p>
    <w:p w:rsidR="0027226B" w:rsidRDefault="0027226B" w:rsidP="0027226B">
      <w:pPr>
        <w:spacing w:before="120" w:after="120" w:line="240" w:lineRule="auto"/>
        <w:ind w:left="851" w:right="851"/>
        <w:jc w:val="both"/>
        <w:rPr>
          <w:rFonts w:ascii="Palatino Linotype" w:hAnsi="Palatino Linotype" w:cs="Arial"/>
          <w:i/>
          <w:sz w:val="24"/>
          <w:szCs w:val="24"/>
          <w:lang w:eastAsia="es-MX"/>
        </w:rPr>
      </w:pPr>
      <w:r>
        <w:rPr>
          <w:rFonts w:ascii="Palatino Linotype" w:hAnsi="Palatino Linotype" w:cs="Arial"/>
          <w:i/>
          <w:sz w:val="24"/>
          <w:szCs w:val="24"/>
          <w:lang w:eastAsia="es-MX"/>
        </w:rPr>
        <w:t>Amparo en revisión 2022/61. José García Florín (Menor). 9 de octubre de 1961. Cinco votos. Ponente: José Rivera Pérez Campos.”</w:t>
      </w:r>
    </w:p>
    <w:p w:rsidR="0027226B" w:rsidRDefault="0027226B" w:rsidP="0027226B">
      <w:pPr>
        <w:spacing w:before="120" w:after="120" w:line="360" w:lineRule="auto"/>
        <w:jc w:val="both"/>
        <w:rPr>
          <w:rFonts w:ascii="Palatino Linotype" w:hAnsi="Palatino Linotype" w:cs="Arial"/>
          <w:sz w:val="24"/>
          <w:szCs w:val="24"/>
        </w:rPr>
      </w:pPr>
    </w:p>
    <w:p w:rsidR="0027226B" w:rsidRDefault="0027226B" w:rsidP="0027226B">
      <w:pPr>
        <w:pStyle w:val="Sinespaciado"/>
        <w:spacing w:before="120" w:after="120" w:line="360" w:lineRule="auto"/>
        <w:jc w:val="both"/>
        <w:rPr>
          <w:rFonts w:ascii="Palatino Linotype" w:hAnsi="Palatino Linotype"/>
          <w:lang w:eastAsia="es-MX"/>
        </w:rPr>
      </w:pPr>
      <w:r>
        <w:rPr>
          <w:rFonts w:ascii="Palatino Linotype" w:hAnsi="Palatino Linotype"/>
          <w:lang w:eastAsia="es-MX"/>
        </w:rPr>
        <w:t xml:space="preserve">Adicionalmente, toda vez que existió un pronunciamiento por parte del </w:t>
      </w:r>
      <w:r w:rsidRPr="006F3207">
        <w:rPr>
          <w:rFonts w:ascii="Palatino Linotype" w:hAnsi="Palatino Linotype"/>
          <w:b/>
          <w:lang w:eastAsia="es-MX"/>
        </w:rPr>
        <w:t>Sujeto Obligado</w:t>
      </w:r>
      <w:r>
        <w:rPr>
          <w:rFonts w:ascii="Palatino Linotype" w:hAnsi="Palatino Linotype"/>
          <w:lang w:eastAsia="es-MX"/>
        </w:rPr>
        <w:t xml:space="preserve">, este Órgano Garante estima conveniente señalar que no está facultado para manifestarse sobre la veracidad de la información proporcionada, ya que no existe precepto legal alguno en la Ley de la Materia que permita, vía recurso de revisión, que </w:t>
      </w:r>
      <w:r>
        <w:rPr>
          <w:rFonts w:ascii="Palatino Linotype" w:hAnsi="Palatino Linotype"/>
          <w:lang w:eastAsia="es-MX"/>
        </w:rPr>
        <w:lastRenderedPageBreak/>
        <w:t>se pronuncia al respecto. Por analogía, sirve de apoyo a lo anterior el Criterio 31-10 emitido por el entonces Instituto Federal de Accesos a la Información y Protección de Datos, que a la letra establece lo siguiente:</w:t>
      </w:r>
    </w:p>
    <w:p w:rsidR="0027226B" w:rsidRPr="00B5035B" w:rsidRDefault="0027226B" w:rsidP="0027226B">
      <w:pPr>
        <w:spacing w:after="0" w:line="360" w:lineRule="auto"/>
        <w:jc w:val="both"/>
        <w:rPr>
          <w:rFonts w:ascii="Palatino Linotype" w:hAnsi="Palatino Linotype"/>
          <w:color w:val="000000" w:themeColor="text1"/>
          <w:sz w:val="24"/>
          <w:szCs w:val="24"/>
        </w:rPr>
      </w:pPr>
    </w:p>
    <w:p w:rsidR="0027226B" w:rsidRPr="006F3207" w:rsidRDefault="0027226B" w:rsidP="0027226B">
      <w:pPr>
        <w:spacing w:before="120" w:after="120" w:line="240" w:lineRule="auto"/>
        <w:ind w:left="851" w:right="851"/>
        <w:jc w:val="both"/>
        <w:rPr>
          <w:rFonts w:ascii="Palatino Linotype" w:hAnsi="Palatino Linotype"/>
          <w:i/>
          <w:color w:val="000000" w:themeColor="text1"/>
          <w:sz w:val="24"/>
        </w:rPr>
      </w:pPr>
      <w:r w:rsidRPr="006F3207">
        <w:rPr>
          <w:rFonts w:ascii="Palatino Linotype" w:hAnsi="Palatino Linotype"/>
          <w:i/>
          <w:color w:val="000000" w:themeColor="text1"/>
          <w:sz w:val="24"/>
        </w:rPr>
        <w:t>“</w:t>
      </w:r>
      <w:r w:rsidRPr="006F3207">
        <w:rPr>
          <w:rFonts w:ascii="Palatino Linotype" w:hAnsi="Palatino Linotype"/>
          <w:b/>
          <w:i/>
          <w:color w:val="000000" w:themeColor="text1"/>
          <w:sz w:val="24"/>
        </w:rPr>
        <w:t>El Instituto Federal de Acceso a la Información y Protección de Datos no cuenta con facultades para pronunciarse respecto de la veracidad de los documentos proporcionados por los sujetos obligados.</w:t>
      </w:r>
      <w:r w:rsidRPr="006F3207">
        <w:rPr>
          <w:rFonts w:ascii="Palatino Linotype" w:hAnsi="Palatino Linotype"/>
          <w:i/>
          <w:color w:val="000000" w:themeColor="text1"/>
          <w:sz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7226B" w:rsidRDefault="0027226B" w:rsidP="0027226B">
      <w:pPr>
        <w:autoSpaceDE w:val="0"/>
        <w:autoSpaceDN w:val="0"/>
        <w:adjustRightInd w:val="0"/>
        <w:spacing w:after="0" w:line="360" w:lineRule="auto"/>
        <w:jc w:val="both"/>
        <w:rPr>
          <w:rFonts w:ascii="Palatino Linotype" w:hAnsi="Palatino Linotype" w:cs="Arial"/>
          <w:sz w:val="24"/>
          <w:szCs w:val="24"/>
        </w:rPr>
      </w:pPr>
    </w:p>
    <w:p w:rsidR="0027226B" w:rsidRPr="00EE1A0C" w:rsidRDefault="0027226B" w:rsidP="0027226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27226B" w:rsidRDefault="0027226B" w:rsidP="0027226B">
      <w:pPr>
        <w:spacing w:after="0" w:line="360" w:lineRule="auto"/>
        <w:jc w:val="both"/>
        <w:rPr>
          <w:rFonts w:ascii="Palatino Linotype" w:hAnsi="Palatino Linotype"/>
          <w:sz w:val="24"/>
          <w:szCs w:val="24"/>
          <w:lang w:eastAsia="es-MX"/>
        </w:rPr>
      </w:pPr>
      <w:r w:rsidRPr="00DF3603">
        <w:rPr>
          <w:rFonts w:ascii="Palatino Linotype" w:hAnsi="Palatino Linotype"/>
          <w:sz w:val="24"/>
          <w:szCs w:val="24"/>
          <w:lang w:eastAsia="es-MX"/>
        </w:rPr>
        <w:t>En este tenor</w:t>
      </w:r>
      <w:r>
        <w:rPr>
          <w:rFonts w:ascii="Palatino Linotype" w:hAnsi="Palatino Linotype"/>
          <w:sz w:val="24"/>
          <w:szCs w:val="24"/>
          <w:lang w:eastAsia="es-MX"/>
        </w:rPr>
        <w:t xml:space="preserve">, </w:t>
      </w:r>
      <w:r w:rsidR="002D5CB7" w:rsidRPr="002D5CB7">
        <w:rPr>
          <w:rFonts w:ascii="Palatino Linotype" w:hAnsi="Palatino Linotype"/>
          <w:sz w:val="24"/>
          <w:szCs w:val="24"/>
          <w:lang w:eastAsia="es-MX"/>
        </w:rPr>
        <w:t xml:space="preserve">las razones o motivos de inconformidad </w:t>
      </w:r>
      <w:r w:rsidR="004F7335">
        <w:rPr>
          <w:rFonts w:ascii="Palatino Linotype" w:hAnsi="Palatino Linotype"/>
          <w:sz w:val="24"/>
          <w:szCs w:val="24"/>
          <w:lang w:eastAsia="es-MX"/>
        </w:rPr>
        <w:t xml:space="preserve">aducidos por </w:t>
      </w:r>
      <w:r w:rsidR="004F7335" w:rsidRPr="004F7335">
        <w:rPr>
          <w:rFonts w:ascii="Palatino Linotype" w:hAnsi="Palatino Linotype"/>
          <w:b/>
          <w:sz w:val="24"/>
          <w:szCs w:val="24"/>
          <w:lang w:eastAsia="es-MX"/>
        </w:rPr>
        <w:t>la</w:t>
      </w:r>
      <w:r w:rsidR="002D5CB7" w:rsidRPr="004F7335">
        <w:rPr>
          <w:rFonts w:ascii="Palatino Linotype" w:hAnsi="Palatino Linotype"/>
          <w:b/>
          <w:sz w:val="24"/>
          <w:szCs w:val="24"/>
          <w:lang w:eastAsia="es-MX"/>
        </w:rPr>
        <w:t xml:space="preserve"> recurrente</w:t>
      </w:r>
      <w:r w:rsidR="002D5CB7" w:rsidRPr="002D5CB7">
        <w:rPr>
          <w:rFonts w:ascii="Palatino Linotype" w:hAnsi="Palatino Linotype"/>
          <w:sz w:val="24"/>
          <w:szCs w:val="24"/>
          <w:lang w:eastAsia="es-MX"/>
        </w:rPr>
        <w:t xml:space="preserve"> resultan improcedentes</w:t>
      </w:r>
      <w:r w:rsidRPr="00B045EB">
        <w:rPr>
          <w:rFonts w:ascii="Palatino Linotype" w:hAnsi="Palatino Linotype"/>
          <w:sz w:val="24"/>
          <w:szCs w:val="24"/>
          <w:lang w:eastAsia="es-MX"/>
        </w:rPr>
        <w:t xml:space="preserve">, </w:t>
      </w:r>
      <w:r w:rsidR="002D5CB7">
        <w:rPr>
          <w:rFonts w:ascii="Palatino Linotype" w:hAnsi="Palatino Linotype"/>
          <w:sz w:val="24"/>
          <w:szCs w:val="24"/>
          <w:lang w:eastAsia="es-MX"/>
        </w:rPr>
        <w:t>toda</w:t>
      </w:r>
      <w:r w:rsidRPr="00B045EB">
        <w:rPr>
          <w:rFonts w:ascii="Palatino Linotype" w:hAnsi="Palatino Linotype"/>
          <w:sz w:val="24"/>
          <w:szCs w:val="24"/>
          <w:lang w:eastAsia="es-MX"/>
        </w:rPr>
        <w:t xml:space="preserve"> vez que </w:t>
      </w:r>
      <w:r>
        <w:rPr>
          <w:rFonts w:ascii="Palatino Linotype" w:hAnsi="Palatino Linotype"/>
          <w:b/>
          <w:sz w:val="24"/>
          <w:szCs w:val="24"/>
          <w:lang w:eastAsia="es-MX"/>
        </w:rPr>
        <w:t>e</w:t>
      </w:r>
      <w:r w:rsidR="002D5CB7">
        <w:rPr>
          <w:rFonts w:ascii="Palatino Linotype" w:hAnsi="Palatino Linotype"/>
          <w:b/>
          <w:sz w:val="24"/>
          <w:szCs w:val="24"/>
          <w:lang w:eastAsia="es-MX"/>
        </w:rPr>
        <w:t>l sujeto o</w:t>
      </w:r>
      <w:r w:rsidRPr="00B045EB">
        <w:rPr>
          <w:rFonts w:ascii="Palatino Linotype" w:hAnsi="Palatino Linotype"/>
          <w:b/>
          <w:sz w:val="24"/>
          <w:szCs w:val="24"/>
          <w:lang w:eastAsia="es-MX"/>
        </w:rPr>
        <w:t xml:space="preserve">bligado </w:t>
      </w:r>
      <w:r w:rsidRPr="00B045EB">
        <w:rPr>
          <w:rFonts w:ascii="Palatino Linotype" w:hAnsi="Palatino Linotype"/>
          <w:sz w:val="24"/>
          <w:szCs w:val="24"/>
          <w:lang w:eastAsia="es-MX"/>
        </w:rPr>
        <w:t>ha manifestado expresamente que no cuenta con la información solicitada.</w:t>
      </w:r>
    </w:p>
    <w:p w:rsidR="005E1DA9" w:rsidRDefault="005E1DA9" w:rsidP="003C63D5">
      <w:pPr>
        <w:pStyle w:val="Prrafodelista"/>
        <w:autoSpaceDE w:val="0"/>
        <w:autoSpaceDN w:val="0"/>
        <w:adjustRightInd w:val="0"/>
        <w:spacing w:line="360" w:lineRule="auto"/>
        <w:ind w:left="0"/>
        <w:jc w:val="both"/>
        <w:rPr>
          <w:rFonts w:ascii="Palatino Linotype" w:hAnsi="Palatino Linotype" w:cs="Arial"/>
        </w:rPr>
      </w:pPr>
    </w:p>
    <w:p w:rsidR="003C63D5" w:rsidRPr="00EF1A9D" w:rsidRDefault="003C63D5" w:rsidP="003C63D5">
      <w:pPr>
        <w:pStyle w:val="Prrafodelista"/>
        <w:autoSpaceDE w:val="0"/>
        <w:autoSpaceDN w:val="0"/>
        <w:adjustRightInd w:val="0"/>
        <w:spacing w:line="360" w:lineRule="auto"/>
        <w:ind w:left="0"/>
        <w:jc w:val="both"/>
        <w:rPr>
          <w:rFonts w:ascii="Palatino Linotype" w:hAnsi="Palatino Linotype" w:cs="Arial"/>
        </w:rPr>
      </w:pPr>
      <w:r w:rsidRPr="00EF1A9D">
        <w:rPr>
          <w:rFonts w:ascii="Palatino Linotype" w:hAnsi="Palatino Linotype" w:cs="Arial"/>
        </w:rPr>
        <w:t xml:space="preserve">De lo anterior, este </w:t>
      </w:r>
      <w:r>
        <w:rPr>
          <w:rFonts w:ascii="Palatino Linotype" w:hAnsi="Palatino Linotype" w:cs="Arial"/>
        </w:rPr>
        <w:t xml:space="preserve">Órgano </w:t>
      </w:r>
      <w:r w:rsidRPr="00EF1A9D">
        <w:rPr>
          <w:rFonts w:ascii="Palatino Linotype" w:hAnsi="Palatino Linotype" w:cs="Arial"/>
        </w:rPr>
        <w:t xml:space="preserve">Resolutor en aras de tutelar el derecho de acceso a la información de los particulares, tiene la obligación de apegarse en todo momento a lo que dispone la Ley de Transparencia y Acceso a la Información Pública del Estado de </w:t>
      </w:r>
      <w:r w:rsidRPr="00EF1A9D">
        <w:rPr>
          <w:rFonts w:ascii="Palatino Linotype" w:hAnsi="Palatino Linotype" w:cs="Arial"/>
        </w:rPr>
        <w:lastRenderedPageBreak/>
        <w:t>México y Municipios garantizando los principios de imparcialidad y legalidad en el procedimiento de impugnación y resolución del recurso planteado</w:t>
      </w:r>
      <w:r w:rsidR="005C564B">
        <w:rPr>
          <w:rFonts w:ascii="Palatino Linotype" w:hAnsi="Palatino Linotype" w:cs="Arial"/>
        </w:rPr>
        <w:t>.</w:t>
      </w:r>
    </w:p>
    <w:p w:rsidR="003C63D5" w:rsidRPr="00EF1A9D" w:rsidRDefault="003C63D5" w:rsidP="003C63D5">
      <w:pPr>
        <w:pStyle w:val="Prrafodelista"/>
        <w:autoSpaceDE w:val="0"/>
        <w:autoSpaceDN w:val="0"/>
        <w:adjustRightInd w:val="0"/>
        <w:spacing w:line="360" w:lineRule="auto"/>
        <w:ind w:left="0"/>
        <w:jc w:val="both"/>
        <w:rPr>
          <w:rFonts w:ascii="Palatino Linotype" w:hAnsi="Palatino Linotype" w:cs="Arial"/>
        </w:rPr>
      </w:pPr>
    </w:p>
    <w:p w:rsidR="003C63D5" w:rsidRDefault="004F7335" w:rsidP="003C63D5">
      <w:pPr>
        <w:tabs>
          <w:tab w:val="left" w:pos="709"/>
        </w:tabs>
        <w:spacing w:after="0" w:line="360" w:lineRule="auto"/>
        <w:ind w:right="51"/>
        <w:jc w:val="both"/>
        <w:rPr>
          <w:rFonts w:ascii="Palatino Linotype" w:hAnsi="Palatino Linotype" w:cs="Arial"/>
          <w:sz w:val="24"/>
        </w:rPr>
      </w:pPr>
      <w:r>
        <w:rPr>
          <w:rFonts w:ascii="Palatino Linotype" w:hAnsi="Palatino Linotype"/>
          <w:sz w:val="24"/>
          <w:szCs w:val="24"/>
        </w:rPr>
        <w:t>En ese orden</w:t>
      </w:r>
      <w:r w:rsidR="003C63D5">
        <w:rPr>
          <w:rFonts w:ascii="Palatino Linotype" w:hAnsi="Palatino Linotype"/>
          <w:sz w:val="24"/>
          <w:szCs w:val="24"/>
        </w:rPr>
        <w:t xml:space="preserve"> de ideas, es de observarse que </w:t>
      </w:r>
      <w:r w:rsidR="003C63D5">
        <w:rPr>
          <w:rFonts w:ascii="Palatino Linotype" w:hAnsi="Palatino Linotype" w:cs="Arial"/>
          <w:sz w:val="24"/>
        </w:rPr>
        <w:t>la ley de la materia establece como causas de sobreseimiento</w:t>
      </w:r>
      <w:r w:rsidR="003C63D5" w:rsidRPr="00540C58">
        <w:t xml:space="preserve"> </w:t>
      </w:r>
      <w:r w:rsidR="003C63D5" w:rsidRPr="00540C58">
        <w:rPr>
          <w:rFonts w:ascii="Palatino Linotype" w:hAnsi="Palatino Linotype" w:cs="Arial"/>
          <w:sz w:val="24"/>
        </w:rPr>
        <w:t>lo estab</w:t>
      </w:r>
      <w:r w:rsidR="003C63D5">
        <w:rPr>
          <w:rFonts w:ascii="Palatino Linotype" w:hAnsi="Palatino Linotype" w:cs="Arial"/>
          <w:sz w:val="24"/>
        </w:rPr>
        <w:t xml:space="preserve">lecido en las fracciones III y </w:t>
      </w:r>
      <w:r w:rsidR="003C63D5" w:rsidRPr="00540C58">
        <w:rPr>
          <w:rFonts w:ascii="Palatino Linotype" w:hAnsi="Palatino Linotype" w:cs="Arial"/>
          <w:sz w:val="24"/>
        </w:rPr>
        <w:t>V del numeral 192 de la Ley de Transparencia vigente en la entidad</w:t>
      </w:r>
      <w:r w:rsidR="003C63D5">
        <w:rPr>
          <w:rFonts w:ascii="Palatino Linotype" w:hAnsi="Palatino Linotype" w:cs="Arial"/>
          <w:sz w:val="24"/>
        </w:rPr>
        <w:t xml:space="preserve"> que a la letra rezan:</w:t>
      </w:r>
    </w:p>
    <w:p w:rsidR="003C63D5" w:rsidRPr="00540C58" w:rsidRDefault="003C63D5" w:rsidP="003C63D5">
      <w:pPr>
        <w:autoSpaceDE w:val="0"/>
        <w:autoSpaceDN w:val="0"/>
        <w:adjustRightInd w:val="0"/>
        <w:spacing w:after="0" w:line="360" w:lineRule="auto"/>
        <w:jc w:val="both"/>
        <w:rPr>
          <w:rFonts w:ascii="Palatino Linotype" w:hAnsi="Palatino Linotype" w:cs="Arial"/>
          <w:sz w:val="24"/>
        </w:rPr>
      </w:pPr>
    </w:p>
    <w:p w:rsidR="003C63D5" w:rsidRPr="00FB6109" w:rsidRDefault="003C63D5" w:rsidP="003C63D5">
      <w:pPr>
        <w:pStyle w:val="Prrafodelista"/>
        <w:autoSpaceDE w:val="0"/>
        <w:autoSpaceDN w:val="0"/>
        <w:adjustRightInd w:val="0"/>
        <w:ind w:left="567" w:right="567"/>
        <w:jc w:val="both"/>
        <w:rPr>
          <w:rFonts w:ascii="Palatino Linotype" w:hAnsi="Palatino Linotype"/>
          <w:i/>
          <w:sz w:val="22"/>
          <w:szCs w:val="22"/>
        </w:rPr>
      </w:pPr>
      <w:r w:rsidRPr="00FB6109">
        <w:rPr>
          <w:rFonts w:ascii="Palatino Linotype" w:hAnsi="Palatino Linotype"/>
          <w:b/>
          <w:i/>
          <w:sz w:val="22"/>
          <w:szCs w:val="22"/>
        </w:rPr>
        <w:t xml:space="preserve">“Artículo 192. </w:t>
      </w:r>
      <w:r w:rsidRPr="00FB6109">
        <w:rPr>
          <w:rFonts w:ascii="Palatino Linotype" w:hAnsi="Palatino Linotype"/>
          <w:i/>
          <w:sz w:val="22"/>
          <w:szCs w:val="22"/>
        </w:rPr>
        <w:t>El recurso será sobreseído, en todo o en parte, cuando una vez admitido, se actualicen alguno de los siguientes supuestos:</w:t>
      </w:r>
    </w:p>
    <w:p w:rsidR="003C63D5" w:rsidRPr="00FB6109" w:rsidRDefault="003C63D5" w:rsidP="003C63D5">
      <w:pPr>
        <w:pStyle w:val="Prrafodelista"/>
        <w:numPr>
          <w:ilvl w:val="0"/>
          <w:numId w:val="1"/>
        </w:numPr>
        <w:autoSpaceDE w:val="0"/>
        <w:autoSpaceDN w:val="0"/>
        <w:adjustRightInd w:val="0"/>
        <w:ind w:left="993" w:right="567" w:hanging="425"/>
        <w:jc w:val="both"/>
        <w:rPr>
          <w:rFonts w:ascii="Palatino Linotype" w:hAnsi="Palatino Linotype"/>
          <w:i/>
          <w:sz w:val="22"/>
          <w:szCs w:val="22"/>
        </w:rPr>
      </w:pPr>
      <w:r w:rsidRPr="00FB6109">
        <w:rPr>
          <w:rFonts w:ascii="Palatino Linotype" w:hAnsi="Palatino Linotype"/>
          <w:i/>
          <w:sz w:val="22"/>
          <w:szCs w:val="22"/>
        </w:rPr>
        <w:t xml:space="preserve">El recurrente se desista expresamente del recurso; </w:t>
      </w:r>
    </w:p>
    <w:p w:rsidR="003C63D5" w:rsidRPr="00FB6109" w:rsidRDefault="003C63D5" w:rsidP="003C63D5">
      <w:pPr>
        <w:pStyle w:val="Prrafodelista"/>
        <w:numPr>
          <w:ilvl w:val="0"/>
          <w:numId w:val="1"/>
        </w:numPr>
        <w:autoSpaceDE w:val="0"/>
        <w:autoSpaceDN w:val="0"/>
        <w:adjustRightInd w:val="0"/>
        <w:ind w:left="993" w:right="567" w:hanging="425"/>
        <w:jc w:val="both"/>
        <w:rPr>
          <w:rFonts w:ascii="Palatino Linotype" w:hAnsi="Palatino Linotype" w:cs="Arial"/>
          <w:i/>
          <w:sz w:val="22"/>
          <w:szCs w:val="22"/>
        </w:rPr>
      </w:pPr>
      <w:r w:rsidRPr="00FB6109">
        <w:rPr>
          <w:rFonts w:ascii="Palatino Linotype" w:hAnsi="Palatino Linotype"/>
          <w:i/>
          <w:sz w:val="22"/>
          <w:szCs w:val="22"/>
        </w:rPr>
        <w:t xml:space="preserve">El recurrente fallezca o, tratándose de personas jurídicas colectivas, se disuelva; </w:t>
      </w:r>
    </w:p>
    <w:p w:rsidR="003C63D5" w:rsidRPr="00FB6109" w:rsidRDefault="003C63D5" w:rsidP="003C63D5">
      <w:pPr>
        <w:pStyle w:val="Prrafodelista"/>
        <w:numPr>
          <w:ilvl w:val="0"/>
          <w:numId w:val="1"/>
        </w:numPr>
        <w:autoSpaceDE w:val="0"/>
        <w:autoSpaceDN w:val="0"/>
        <w:adjustRightInd w:val="0"/>
        <w:ind w:left="993" w:right="567" w:hanging="425"/>
        <w:jc w:val="both"/>
        <w:rPr>
          <w:rFonts w:ascii="Palatino Linotype" w:hAnsi="Palatino Linotype" w:cs="Arial"/>
          <w:i/>
          <w:sz w:val="22"/>
          <w:szCs w:val="22"/>
        </w:rPr>
      </w:pPr>
      <w:r w:rsidRPr="00FB6109">
        <w:rPr>
          <w:rFonts w:ascii="Palatino Linotype" w:hAnsi="Palatino Linotype"/>
          <w:b/>
          <w:i/>
          <w:sz w:val="22"/>
          <w:szCs w:val="22"/>
        </w:rPr>
        <w:t>El sujeto obligado responsable del acto lo modifique o revoque de tal manera que el recurso de revisión quede sin materia</w:t>
      </w:r>
      <w:r w:rsidRPr="00FB6109">
        <w:rPr>
          <w:rFonts w:ascii="Palatino Linotype" w:hAnsi="Palatino Linotype"/>
          <w:i/>
          <w:sz w:val="22"/>
          <w:szCs w:val="22"/>
        </w:rPr>
        <w:t xml:space="preserve">; </w:t>
      </w:r>
    </w:p>
    <w:p w:rsidR="003C63D5" w:rsidRPr="00FB6109" w:rsidRDefault="003C63D5" w:rsidP="003C63D5">
      <w:pPr>
        <w:pStyle w:val="Prrafodelista"/>
        <w:numPr>
          <w:ilvl w:val="0"/>
          <w:numId w:val="1"/>
        </w:numPr>
        <w:autoSpaceDE w:val="0"/>
        <w:autoSpaceDN w:val="0"/>
        <w:adjustRightInd w:val="0"/>
        <w:ind w:left="993" w:right="567" w:hanging="425"/>
        <w:jc w:val="both"/>
        <w:rPr>
          <w:rFonts w:ascii="Palatino Linotype" w:hAnsi="Palatino Linotype" w:cs="Arial"/>
          <w:sz w:val="22"/>
          <w:szCs w:val="22"/>
        </w:rPr>
      </w:pPr>
      <w:r w:rsidRPr="00FB6109">
        <w:rPr>
          <w:rFonts w:ascii="Palatino Linotype" w:hAnsi="Palatino Linotype"/>
          <w:sz w:val="22"/>
          <w:szCs w:val="22"/>
        </w:rPr>
        <w:t xml:space="preserve">Admitido el recurso de revisión, aparezca alguna causal de improcedencia en los términos de la presente Ley; y </w:t>
      </w:r>
    </w:p>
    <w:p w:rsidR="003C63D5" w:rsidRPr="00FB6109" w:rsidRDefault="003C63D5" w:rsidP="003C63D5">
      <w:pPr>
        <w:pStyle w:val="Prrafodelista"/>
        <w:numPr>
          <w:ilvl w:val="0"/>
          <w:numId w:val="1"/>
        </w:numPr>
        <w:autoSpaceDE w:val="0"/>
        <w:autoSpaceDN w:val="0"/>
        <w:adjustRightInd w:val="0"/>
        <w:ind w:left="993" w:right="567" w:hanging="425"/>
        <w:jc w:val="both"/>
        <w:rPr>
          <w:rFonts w:ascii="Palatino Linotype" w:hAnsi="Palatino Linotype" w:cs="Arial"/>
          <w:b/>
          <w:i/>
          <w:sz w:val="22"/>
          <w:szCs w:val="22"/>
        </w:rPr>
      </w:pPr>
      <w:r w:rsidRPr="00FB6109">
        <w:rPr>
          <w:rFonts w:ascii="Palatino Linotype" w:hAnsi="Palatino Linotype"/>
          <w:b/>
          <w:i/>
          <w:sz w:val="22"/>
          <w:szCs w:val="22"/>
        </w:rPr>
        <w:t>Cuando por cualquier motivo quede sin materia el recurso.”</w:t>
      </w:r>
    </w:p>
    <w:p w:rsidR="003C63D5" w:rsidRDefault="003C63D5" w:rsidP="003C63D5">
      <w:pPr>
        <w:pStyle w:val="Prrafodelista"/>
        <w:autoSpaceDE w:val="0"/>
        <w:autoSpaceDN w:val="0"/>
        <w:adjustRightInd w:val="0"/>
        <w:ind w:left="993" w:right="567"/>
        <w:jc w:val="right"/>
        <w:rPr>
          <w:rFonts w:ascii="Palatino Linotype" w:hAnsi="Palatino Linotype"/>
          <w:i/>
          <w:sz w:val="22"/>
          <w:szCs w:val="22"/>
        </w:rPr>
      </w:pPr>
    </w:p>
    <w:p w:rsidR="003C63D5" w:rsidRPr="00FB6109" w:rsidRDefault="003C63D5" w:rsidP="003C63D5">
      <w:pPr>
        <w:pStyle w:val="Prrafodelista"/>
        <w:autoSpaceDE w:val="0"/>
        <w:autoSpaceDN w:val="0"/>
        <w:adjustRightInd w:val="0"/>
        <w:ind w:left="993" w:right="567"/>
        <w:jc w:val="right"/>
        <w:rPr>
          <w:rFonts w:ascii="Palatino Linotype" w:hAnsi="Palatino Linotype" w:cs="Arial"/>
          <w:i/>
          <w:sz w:val="22"/>
          <w:szCs w:val="22"/>
        </w:rPr>
      </w:pPr>
      <w:r w:rsidRPr="00FB6109">
        <w:rPr>
          <w:rFonts w:ascii="Palatino Linotype" w:hAnsi="Palatino Linotype"/>
          <w:i/>
          <w:sz w:val="22"/>
          <w:szCs w:val="22"/>
        </w:rPr>
        <w:t>(Énfasis añadido)</w:t>
      </w:r>
    </w:p>
    <w:p w:rsidR="003C63D5" w:rsidRDefault="003C63D5" w:rsidP="003C63D5">
      <w:pPr>
        <w:pStyle w:val="Prrafodelista"/>
        <w:autoSpaceDE w:val="0"/>
        <w:autoSpaceDN w:val="0"/>
        <w:adjustRightInd w:val="0"/>
        <w:spacing w:line="360" w:lineRule="auto"/>
        <w:ind w:left="0"/>
        <w:jc w:val="both"/>
        <w:rPr>
          <w:rFonts w:ascii="Palatino Linotype" w:hAnsi="Palatino Linotype" w:cs="Arial"/>
        </w:rPr>
      </w:pPr>
    </w:p>
    <w:p w:rsidR="003C63D5" w:rsidRDefault="003C63D5" w:rsidP="003C63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que hace a los requisitos de procedencia del sobreseimiento en términos del artículo 192 de la ley de transparencia estatal se establece lo siguiente:</w:t>
      </w:r>
    </w:p>
    <w:p w:rsidR="005C564B" w:rsidRDefault="005C564B" w:rsidP="003C63D5">
      <w:pPr>
        <w:pStyle w:val="Prrafodelista"/>
        <w:autoSpaceDE w:val="0"/>
        <w:autoSpaceDN w:val="0"/>
        <w:adjustRightInd w:val="0"/>
        <w:spacing w:line="360" w:lineRule="auto"/>
        <w:ind w:left="0"/>
        <w:jc w:val="both"/>
        <w:rPr>
          <w:rFonts w:ascii="Palatino Linotype" w:hAnsi="Palatino Linotype" w:cs="Arial"/>
        </w:rPr>
      </w:pPr>
    </w:p>
    <w:p w:rsidR="003C63D5" w:rsidRDefault="003C63D5" w:rsidP="003C63D5">
      <w:pPr>
        <w:pStyle w:val="Prrafodelista"/>
        <w:numPr>
          <w:ilvl w:val="0"/>
          <w:numId w:val="2"/>
        </w:numPr>
        <w:autoSpaceDE w:val="0"/>
        <w:autoSpaceDN w:val="0"/>
        <w:adjustRightInd w:val="0"/>
        <w:spacing w:line="360" w:lineRule="auto"/>
        <w:ind w:left="851" w:right="850" w:firstLine="10"/>
        <w:jc w:val="both"/>
        <w:rPr>
          <w:rFonts w:ascii="Palatino Linotype" w:hAnsi="Palatino Linotype" w:cs="Arial"/>
        </w:rPr>
      </w:pPr>
      <w:r>
        <w:rPr>
          <w:rFonts w:ascii="Palatino Linotype" w:hAnsi="Palatino Linotype" w:cs="Arial"/>
        </w:rPr>
        <w:t xml:space="preserve">Mediante acuerdo de </w:t>
      </w:r>
      <w:r w:rsidR="00FF147B">
        <w:rPr>
          <w:rFonts w:ascii="Palatino Linotype" w:hAnsi="Palatino Linotype" w:cs="Arial"/>
        </w:rPr>
        <w:t>fecha veinticinco de septiembre</w:t>
      </w:r>
      <w:r>
        <w:rPr>
          <w:rFonts w:ascii="Palatino Linotype" w:hAnsi="Palatino Linotype" w:cs="Arial"/>
        </w:rPr>
        <w:t xml:space="preserve"> de dos mil dieciocho, la Comisionada Zulema Martínez Sánchez admitió a trámite el recurso de revisión que nos ocupa.</w:t>
      </w:r>
    </w:p>
    <w:p w:rsidR="003C63D5" w:rsidRPr="00E322B8" w:rsidRDefault="003C63D5" w:rsidP="003C63D5">
      <w:pPr>
        <w:pStyle w:val="Prrafodelista"/>
        <w:numPr>
          <w:ilvl w:val="0"/>
          <w:numId w:val="2"/>
        </w:numPr>
        <w:autoSpaceDE w:val="0"/>
        <w:autoSpaceDN w:val="0"/>
        <w:adjustRightInd w:val="0"/>
        <w:spacing w:line="360" w:lineRule="auto"/>
        <w:ind w:left="851" w:right="850" w:firstLine="10"/>
        <w:jc w:val="both"/>
        <w:rPr>
          <w:rFonts w:ascii="Palatino Linotype" w:hAnsi="Palatino Linotype" w:cs="Arial"/>
        </w:rPr>
      </w:pPr>
      <w:r>
        <w:rPr>
          <w:rFonts w:ascii="Palatino Linotype" w:hAnsi="Palatino Linotype" w:cs="Arial"/>
        </w:rPr>
        <w:t xml:space="preserve">Lo esgrimido por </w:t>
      </w:r>
      <w:r w:rsidR="00277C48">
        <w:rPr>
          <w:rFonts w:ascii="Palatino Linotype" w:hAnsi="Palatino Linotype" w:cs="Arial"/>
        </w:rPr>
        <w:t>la recurrente</w:t>
      </w:r>
      <w:r>
        <w:rPr>
          <w:rFonts w:ascii="Palatino Linotype" w:hAnsi="Palatino Linotype" w:cs="Arial"/>
        </w:rPr>
        <w:t xml:space="preserve"> dentro del recurso de revisión impugnado queda sin materia, toda vez que </w:t>
      </w:r>
      <w:r w:rsidRPr="00AD5FA5">
        <w:rPr>
          <w:rFonts w:ascii="Palatino Linotype" w:hAnsi="Palatino Linotype" w:cs="Arial"/>
          <w:b/>
        </w:rPr>
        <w:t>el sujeto obligado</w:t>
      </w:r>
      <w:r>
        <w:rPr>
          <w:rFonts w:ascii="Palatino Linotype" w:hAnsi="Palatino Linotype" w:cs="Arial"/>
        </w:rPr>
        <w:t xml:space="preserve"> colmó </w:t>
      </w:r>
      <w:r>
        <w:rPr>
          <w:rFonts w:ascii="Palatino Linotype" w:hAnsi="Palatino Linotype" w:cs="Arial"/>
        </w:rPr>
        <w:lastRenderedPageBreak/>
        <w:t>el derech</w:t>
      </w:r>
      <w:r w:rsidR="00B758ED">
        <w:rPr>
          <w:rFonts w:ascii="Palatino Linotype" w:hAnsi="Palatino Linotype" w:cs="Arial"/>
        </w:rPr>
        <w:t xml:space="preserve">o de acceso a la información de </w:t>
      </w:r>
      <w:r w:rsidR="00B758ED" w:rsidRPr="00B758ED">
        <w:rPr>
          <w:rFonts w:ascii="Palatino Linotype" w:hAnsi="Palatino Linotype" w:cs="Arial"/>
          <w:b/>
        </w:rPr>
        <w:t>la</w:t>
      </w:r>
      <w:r>
        <w:rPr>
          <w:rFonts w:ascii="Palatino Linotype" w:hAnsi="Palatino Linotype" w:cs="Arial"/>
        </w:rPr>
        <w:t xml:space="preserve"> </w:t>
      </w:r>
      <w:r>
        <w:rPr>
          <w:rFonts w:ascii="Palatino Linotype" w:hAnsi="Palatino Linotype" w:cs="Arial"/>
          <w:b/>
        </w:rPr>
        <w:t xml:space="preserve">recurrente, </w:t>
      </w:r>
      <w:r>
        <w:rPr>
          <w:rFonts w:ascii="Palatino Linotype" w:hAnsi="Palatino Linotype" w:cs="Arial"/>
        </w:rPr>
        <w:t>ello al ampliar su respuesta primigenia, mediante su informe justific</w:t>
      </w:r>
      <w:r w:rsidR="005C564B">
        <w:rPr>
          <w:rFonts w:ascii="Palatino Linotype" w:hAnsi="Palatino Linotype" w:cs="Arial"/>
        </w:rPr>
        <w:t>ado.</w:t>
      </w:r>
    </w:p>
    <w:p w:rsidR="003C63D5" w:rsidRPr="00095DDC" w:rsidRDefault="003C63D5" w:rsidP="003C63D5">
      <w:pPr>
        <w:pStyle w:val="Prrafodelista"/>
        <w:numPr>
          <w:ilvl w:val="0"/>
          <w:numId w:val="2"/>
        </w:numPr>
        <w:autoSpaceDE w:val="0"/>
        <w:autoSpaceDN w:val="0"/>
        <w:adjustRightInd w:val="0"/>
        <w:spacing w:line="360" w:lineRule="auto"/>
        <w:ind w:left="851" w:right="850" w:firstLine="10"/>
        <w:jc w:val="both"/>
        <w:rPr>
          <w:rFonts w:ascii="Palatino Linotype" w:hAnsi="Palatino Linotype" w:cs="Arial"/>
        </w:rPr>
      </w:pPr>
      <w:r>
        <w:rPr>
          <w:rFonts w:ascii="Palatino Linotype" w:hAnsi="Palatino Linotype" w:cs="Arial"/>
        </w:rPr>
        <w:t>Ha dejado de subsistir la causal establecida en la fracción V del artículo 179 de la Ley de Transparencia local</w:t>
      </w:r>
      <w:r>
        <w:rPr>
          <w:rStyle w:val="Refdenotaalpie"/>
          <w:rFonts w:ascii="Palatino Linotype" w:hAnsi="Palatino Linotype" w:cs="Arial"/>
        </w:rPr>
        <w:footnoteReference w:id="3"/>
      </w:r>
      <w:r>
        <w:rPr>
          <w:rFonts w:ascii="Palatino Linotype" w:hAnsi="Palatino Linotype" w:cs="Arial"/>
        </w:rPr>
        <w:t>.</w:t>
      </w:r>
    </w:p>
    <w:p w:rsidR="003C63D5" w:rsidRDefault="003C63D5" w:rsidP="003C63D5">
      <w:pPr>
        <w:tabs>
          <w:tab w:val="left" w:pos="709"/>
        </w:tabs>
        <w:spacing w:after="0" w:line="360" w:lineRule="auto"/>
        <w:ind w:right="51"/>
        <w:jc w:val="both"/>
        <w:rPr>
          <w:rFonts w:ascii="Palatino Linotype" w:hAnsi="Palatino Linotype"/>
          <w:sz w:val="24"/>
          <w:szCs w:val="24"/>
        </w:rPr>
      </w:pPr>
    </w:p>
    <w:p w:rsidR="003C63D5" w:rsidRDefault="003C63D5" w:rsidP="003C63D5">
      <w:pPr>
        <w:pStyle w:val="Prrafodelista"/>
        <w:autoSpaceDE w:val="0"/>
        <w:autoSpaceDN w:val="0"/>
        <w:adjustRightInd w:val="0"/>
        <w:spacing w:line="360" w:lineRule="auto"/>
        <w:ind w:left="0"/>
        <w:jc w:val="both"/>
        <w:rPr>
          <w:rFonts w:ascii="Palatino Linotype" w:hAnsi="Palatino Linotype"/>
        </w:rPr>
      </w:pPr>
      <w:r w:rsidRPr="00FE5F7B">
        <w:rPr>
          <w:rFonts w:ascii="Palatino Linotype" w:hAnsi="Palatino Linotype"/>
        </w:rPr>
        <w:t xml:space="preserve">Es importante resaltar a manera de analogía que la Suprema Corte de Justicia de la Nación mediante el número 2 de la Serie </w:t>
      </w:r>
      <w:r w:rsidRPr="00FE5F7B">
        <w:rPr>
          <w:rFonts w:ascii="Palatino Linotype" w:hAnsi="Palatino Linotype"/>
          <w:i/>
        </w:rPr>
        <w:t xml:space="preserve">Estudios Introductorios sobre el Juicio de Amparo </w:t>
      </w:r>
      <w:r w:rsidRPr="00FE5F7B">
        <w:rPr>
          <w:rFonts w:ascii="Palatino Linotype" w:hAnsi="Palatino Linotype"/>
        </w:rPr>
        <w:t xml:space="preserve">relativo a </w:t>
      </w:r>
      <w:r w:rsidRPr="00FE5F7B">
        <w:rPr>
          <w:rFonts w:ascii="Palatino Linotype" w:hAnsi="Palatino Linotype"/>
          <w:i/>
        </w:rPr>
        <w:t xml:space="preserve">LA IMPROCEDENCIA DE LA ACCIÓN DE AMPARO </w:t>
      </w:r>
      <w:r w:rsidRPr="00FE5F7B">
        <w:rPr>
          <w:rFonts w:ascii="Palatino Linotype" w:hAnsi="Palatino Linotype"/>
        </w:rPr>
        <w:t>definió a la improcedencia del amparo como la institución jurídica procesal en la que, al</w:t>
      </w:r>
      <w:r>
        <w:rPr>
          <w:rFonts w:ascii="Palatino Linotype" w:hAnsi="Palatino Linotype"/>
        </w:rPr>
        <w:t xml:space="preserve">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w:t>
      </w:r>
      <w:r w:rsidRPr="00422EC9">
        <w:rPr>
          <w:rFonts w:ascii="Palatino Linotype" w:hAnsi="Palatino Linotype"/>
        </w:rPr>
        <w:t xml:space="preserve">, </w:t>
      </w:r>
      <w:r w:rsidRPr="00D754DC">
        <w:rPr>
          <w:rFonts w:ascii="Palatino Linotype" w:hAnsi="Palatino Linotype"/>
          <w:u w:val="single"/>
        </w:rPr>
        <w:t>lo que generará que la demanda sea desechada; o bien, después de admitida la demanda, lo que tendrá como consecuencia que se sobresea en el juicio.</w:t>
      </w:r>
    </w:p>
    <w:p w:rsidR="003C63D5" w:rsidRPr="00533393" w:rsidRDefault="003C63D5" w:rsidP="003C63D5">
      <w:pPr>
        <w:pStyle w:val="Prrafodelista"/>
        <w:autoSpaceDE w:val="0"/>
        <w:autoSpaceDN w:val="0"/>
        <w:adjustRightInd w:val="0"/>
        <w:spacing w:line="360" w:lineRule="auto"/>
        <w:ind w:left="0"/>
        <w:jc w:val="both"/>
        <w:rPr>
          <w:rFonts w:ascii="Palatino Linotype" w:hAnsi="Palatino Linotype"/>
        </w:rPr>
      </w:pPr>
    </w:p>
    <w:p w:rsidR="003C63D5" w:rsidRDefault="00E66465" w:rsidP="003C63D5">
      <w:pPr>
        <w:tabs>
          <w:tab w:val="left" w:pos="8931"/>
        </w:tabs>
        <w:spacing w:after="0" w:line="360" w:lineRule="auto"/>
        <w:ind w:right="51"/>
        <w:jc w:val="both"/>
        <w:rPr>
          <w:rFonts w:ascii="Palatino Linotype" w:hAnsi="Palatino Linotype"/>
          <w:sz w:val="24"/>
          <w:szCs w:val="24"/>
        </w:rPr>
      </w:pPr>
      <w:r w:rsidRPr="00E66465">
        <w:rPr>
          <w:rFonts w:ascii="Palatino Linotype" w:hAnsi="Palatino Linotype"/>
          <w:sz w:val="24"/>
          <w:szCs w:val="24"/>
        </w:rPr>
        <w:t>Así, con fundamento en lo prescrito en los artículos 36 fracciones II y III, 186 fracciones I y 192 fracción III de la Ley de Transparencia y Acceso a la Información Pública del Estado de México y Municipios este Pleno:</w:t>
      </w:r>
    </w:p>
    <w:p w:rsidR="003C63D5" w:rsidRDefault="003C63D5" w:rsidP="003C63D5">
      <w:pPr>
        <w:tabs>
          <w:tab w:val="left" w:pos="8931"/>
        </w:tabs>
        <w:spacing w:after="0" w:line="360" w:lineRule="auto"/>
        <w:ind w:right="51"/>
        <w:jc w:val="both"/>
        <w:rPr>
          <w:rFonts w:ascii="Palatino Linotype" w:hAnsi="Palatino Linotype"/>
          <w:sz w:val="24"/>
          <w:szCs w:val="24"/>
        </w:rPr>
      </w:pPr>
    </w:p>
    <w:p w:rsidR="00686C99" w:rsidRDefault="00686C99" w:rsidP="003C63D5">
      <w:pPr>
        <w:spacing w:after="0" w:line="360" w:lineRule="auto"/>
        <w:jc w:val="center"/>
        <w:rPr>
          <w:rFonts w:ascii="Palatino Linotype" w:eastAsia="Times New Roman" w:hAnsi="Palatino Linotype"/>
          <w:b/>
          <w:bCs/>
          <w:spacing w:val="60"/>
          <w:sz w:val="28"/>
          <w:lang w:val="es-ES_tradnl"/>
        </w:rPr>
      </w:pPr>
    </w:p>
    <w:p w:rsidR="003C63D5" w:rsidRDefault="003C63D5" w:rsidP="003C63D5">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3C63D5" w:rsidRDefault="003C63D5" w:rsidP="003C63D5">
      <w:pPr>
        <w:spacing w:after="0" w:line="360" w:lineRule="auto"/>
        <w:jc w:val="center"/>
        <w:rPr>
          <w:rFonts w:ascii="Palatino Linotype" w:eastAsia="Times New Roman" w:hAnsi="Palatino Linotype"/>
          <w:b/>
          <w:bCs/>
          <w:spacing w:val="60"/>
          <w:sz w:val="28"/>
          <w:lang w:val="es-ES_tradnl"/>
        </w:rPr>
      </w:pPr>
    </w:p>
    <w:p w:rsidR="003C63D5" w:rsidRPr="00921CA9" w:rsidRDefault="003C63D5" w:rsidP="003C63D5">
      <w:pPr>
        <w:spacing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SOBRESEE</w:t>
      </w:r>
      <w:r w:rsidRPr="00921CA9">
        <w:rPr>
          <w:rFonts w:ascii="Palatino Linotype" w:hAnsi="Palatino Linotype" w:cs="Arial"/>
          <w:sz w:val="24"/>
          <w:szCs w:val="24"/>
          <w:lang w:val="es-ES_tradnl"/>
        </w:rPr>
        <w:t xml:space="preserve"> </w:t>
      </w:r>
      <w:r w:rsidR="00602364" w:rsidRPr="00602364">
        <w:rPr>
          <w:rFonts w:ascii="Palatino Linotype" w:eastAsia="Arial Unicode MS" w:hAnsi="Palatino Linotype" w:cs="Arial"/>
          <w:sz w:val="24"/>
          <w:szCs w:val="24"/>
        </w:rPr>
        <w:t xml:space="preserve">el recurso de revisión número </w:t>
      </w:r>
      <w:r w:rsidR="009A55C7" w:rsidRPr="009A55C7">
        <w:rPr>
          <w:rFonts w:ascii="Palatino Linotype" w:eastAsia="Arial Unicode MS" w:hAnsi="Palatino Linotype" w:cs="Arial"/>
          <w:sz w:val="24"/>
          <w:szCs w:val="24"/>
        </w:rPr>
        <w:t>03490/INFOEM/IP/RR/2018</w:t>
      </w:r>
      <w:r w:rsidR="00602364" w:rsidRPr="00602364">
        <w:rPr>
          <w:rFonts w:ascii="Palatino Linotype" w:eastAsia="Arial Unicode MS" w:hAnsi="Palatino Linotype" w:cs="Arial"/>
          <w:sz w:val="24"/>
          <w:szCs w:val="24"/>
        </w:rPr>
        <w:t xml:space="preserve">, porque al modificar la respuesta, el recurso de revisión quedó sin materia en términos </w:t>
      </w:r>
      <w:r w:rsidR="00966A02" w:rsidRPr="00602364">
        <w:rPr>
          <w:rFonts w:ascii="Palatino Linotype" w:eastAsia="Arial Unicode MS" w:hAnsi="Palatino Linotype" w:cs="Arial"/>
          <w:sz w:val="24"/>
          <w:szCs w:val="24"/>
        </w:rPr>
        <w:t>del Considerando</w:t>
      </w:r>
      <w:r w:rsidR="00602364" w:rsidRPr="00602364">
        <w:rPr>
          <w:rFonts w:ascii="Palatino Linotype" w:eastAsia="Arial Unicode MS" w:hAnsi="Palatino Linotype" w:cs="Arial"/>
          <w:sz w:val="24"/>
          <w:szCs w:val="24"/>
        </w:rPr>
        <w:t xml:space="preserve"> </w:t>
      </w:r>
      <w:r w:rsidR="000B753F" w:rsidRPr="000B753F">
        <w:rPr>
          <w:rFonts w:ascii="Palatino Linotype" w:eastAsia="Arial Unicode MS" w:hAnsi="Palatino Linotype" w:cs="Arial"/>
          <w:b/>
          <w:sz w:val="24"/>
          <w:szCs w:val="24"/>
        </w:rPr>
        <w:t>TERCERO</w:t>
      </w:r>
      <w:r w:rsidR="00602364" w:rsidRPr="00602364">
        <w:rPr>
          <w:rFonts w:ascii="Palatino Linotype" w:eastAsia="Arial Unicode MS" w:hAnsi="Palatino Linotype" w:cs="Arial"/>
          <w:sz w:val="24"/>
          <w:szCs w:val="24"/>
        </w:rPr>
        <w:t xml:space="preserve"> de la presente resolución.</w:t>
      </w:r>
    </w:p>
    <w:p w:rsidR="003C63D5" w:rsidRPr="009466BD" w:rsidRDefault="003C63D5" w:rsidP="003C63D5">
      <w:pPr>
        <w:spacing w:after="0" w:line="360" w:lineRule="auto"/>
        <w:ind w:right="567"/>
        <w:jc w:val="both"/>
        <w:rPr>
          <w:rFonts w:ascii="Palatino Linotype" w:hAnsi="Palatino Linotype"/>
          <w:i/>
          <w:lang w:val="es-ES_tradnl"/>
        </w:rPr>
      </w:pPr>
    </w:p>
    <w:p w:rsidR="003C63D5" w:rsidRDefault="003C63D5" w:rsidP="003C63D5">
      <w:pPr>
        <w:spacing w:after="0" w:line="360" w:lineRule="auto"/>
        <w:jc w:val="both"/>
        <w:rPr>
          <w:rFonts w:ascii="Palatino Linotype" w:hAnsi="Palatino Linotype" w:cs="Arial"/>
          <w:b/>
          <w:sz w:val="24"/>
        </w:rPr>
      </w:pPr>
      <w:r w:rsidRPr="00120192">
        <w:rPr>
          <w:rFonts w:ascii="Palatino Linotype" w:hAnsi="Palatino Linotype"/>
          <w:b/>
          <w:sz w:val="28"/>
        </w:rPr>
        <w:t>SEGUNDO.</w:t>
      </w:r>
      <w:r w:rsidRPr="00120192">
        <w:rPr>
          <w:rFonts w:ascii="Palatino Linotype" w:hAnsi="Palatino Linotype" w:cs="Arial"/>
        </w:rPr>
        <w:t xml:space="preserve"> </w:t>
      </w:r>
      <w:r w:rsidR="00E550AE" w:rsidRPr="00E550AE">
        <w:rPr>
          <w:rFonts w:ascii="Palatino Linotype" w:hAnsi="Palatino Linotype" w:cs="Arial"/>
          <w:b/>
          <w:sz w:val="24"/>
        </w:rPr>
        <w:t>Notifíquese</w:t>
      </w:r>
      <w:r w:rsidR="00602364" w:rsidRPr="00602364">
        <w:rPr>
          <w:rFonts w:ascii="Palatino Linotype" w:hAnsi="Palatino Linotype" w:cs="Arial"/>
          <w:b/>
          <w:sz w:val="24"/>
        </w:rPr>
        <w:t xml:space="preserve"> </w:t>
      </w:r>
      <w:r w:rsidR="00602364" w:rsidRPr="00602364">
        <w:rPr>
          <w:rFonts w:ascii="Palatino Linotype" w:hAnsi="Palatino Linotype" w:cs="Arial"/>
          <w:sz w:val="24"/>
        </w:rPr>
        <w:t>vía</w:t>
      </w:r>
      <w:r w:rsidR="00602364" w:rsidRPr="00602364">
        <w:rPr>
          <w:rFonts w:ascii="Palatino Linotype" w:hAnsi="Palatino Linotype" w:cs="Arial"/>
          <w:b/>
          <w:sz w:val="24"/>
        </w:rPr>
        <w:t xml:space="preserve"> SAIMEX, </w:t>
      </w:r>
      <w:r w:rsidR="00602364" w:rsidRPr="00602364">
        <w:rPr>
          <w:rFonts w:ascii="Palatino Linotype" w:hAnsi="Palatino Linotype" w:cs="Arial"/>
          <w:sz w:val="24"/>
        </w:rPr>
        <w:t>la presente resolución al Titular de la Unidad de Transparencia del</w:t>
      </w:r>
      <w:r w:rsidR="000B753F">
        <w:rPr>
          <w:rFonts w:ascii="Palatino Linotype" w:hAnsi="Palatino Linotype" w:cs="Arial"/>
          <w:b/>
          <w:sz w:val="24"/>
        </w:rPr>
        <w:t xml:space="preserve"> sujeto o</w:t>
      </w:r>
      <w:r w:rsidR="00602364" w:rsidRPr="00602364">
        <w:rPr>
          <w:rFonts w:ascii="Palatino Linotype" w:hAnsi="Palatino Linotype" w:cs="Arial"/>
          <w:b/>
          <w:sz w:val="24"/>
        </w:rPr>
        <w:t>bligado.</w:t>
      </w:r>
    </w:p>
    <w:p w:rsidR="003C63D5" w:rsidRDefault="003C63D5" w:rsidP="003C63D5">
      <w:pPr>
        <w:spacing w:after="0" w:line="360" w:lineRule="auto"/>
        <w:ind w:right="333"/>
        <w:jc w:val="both"/>
        <w:rPr>
          <w:rFonts w:ascii="Palatino Linotype" w:hAnsi="Palatino Linotype" w:cs="Arial"/>
          <w:sz w:val="24"/>
        </w:rPr>
      </w:pPr>
    </w:p>
    <w:p w:rsidR="007101C9" w:rsidRPr="00410349" w:rsidRDefault="003C63D5" w:rsidP="00410349">
      <w:pPr>
        <w:spacing w:line="360" w:lineRule="auto"/>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sidR="00410349" w:rsidRPr="005C39AD">
        <w:rPr>
          <w:rFonts w:ascii="Palatino Linotype" w:hAnsi="Palatino Linotype" w:cs="Arial"/>
          <w:b/>
          <w:sz w:val="24"/>
          <w:szCs w:val="24"/>
        </w:rPr>
        <w:t xml:space="preserve">Notifíquese </w:t>
      </w:r>
      <w:r w:rsidR="00410349" w:rsidRPr="005C39AD">
        <w:rPr>
          <w:rFonts w:ascii="Palatino Linotype" w:hAnsi="Palatino Linotype" w:cs="Arial"/>
          <w:sz w:val="24"/>
          <w:szCs w:val="24"/>
        </w:rPr>
        <w:t>la presente resolución</w:t>
      </w:r>
      <w:r w:rsidR="00410349" w:rsidRPr="005C39AD">
        <w:rPr>
          <w:rFonts w:ascii="Palatino Linotype" w:hAnsi="Palatino Linotype" w:cs="Arial"/>
          <w:b/>
          <w:sz w:val="24"/>
          <w:szCs w:val="24"/>
        </w:rPr>
        <w:t xml:space="preserve"> </w:t>
      </w:r>
      <w:r w:rsidR="00410349" w:rsidRPr="005C39AD">
        <w:rPr>
          <w:rFonts w:ascii="Palatino Linotype" w:hAnsi="Palatino Linotype" w:cs="Arial"/>
          <w:sz w:val="24"/>
          <w:szCs w:val="24"/>
        </w:rPr>
        <w:t xml:space="preserve">a </w:t>
      </w:r>
      <w:r w:rsidR="00410349">
        <w:rPr>
          <w:rFonts w:ascii="Palatino Linotype" w:hAnsi="Palatino Linotype" w:cs="Arial"/>
          <w:b/>
          <w:sz w:val="24"/>
          <w:szCs w:val="24"/>
        </w:rPr>
        <w:t>la r</w:t>
      </w:r>
      <w:r w:rsidR="00410349" w:rsidRPr="005C39AD">
        <w:rPr>
          <w:rFonts w:ascii="Palatino Linotype" w:hAnsi="Palatino Linotype" w:cs="Arial"/>
          <w:b/>
          <w:sz w:val="24"/>
          <w:szCs w:val="24"/>
        </w:rPr>
        <w:t>ecurrente</w:t>
      </w:r>
      <w:r w:rsidR="00410349" w:rsidRPr="005C39AD">
        <w:rPr>
          <w:rFonts w:ascii="Palatino Linotype" w:hAnsi="Palatino Linotype" w:cs="Arial"/>
          <w:sz w:val="24"/>
          <w:szCs w:val="24"/>
        </w:rPr>
        <w:t>, haciendo</w:t>
      </w:r>
      <w:r w:rsidR="00410349" w:rsidRPr="005C39AD">
        <w:rPr>
          <w:rFonts w:ascii="Palatino Linotype" w:hAnsi="Palatino Linotype" w:cs="Arial"/>
          <w:sz w:val="24"/>
          <w:szCs w:val="24"/>
          <w:lang w:val="es-ES_tradnl"/>
        </w:rPr>
        <w:t xml:space="preserve"> de su conocimiento que </w:t>
      </w:r>
      <w:r w:rsidR="00410349" w:rsidRPr="005C39AD">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00410349" w:rsidRPr="005C39AD">
        <w:rPr>
          <w:rStyle w:val="apple-converted-space"/>
          <w:rFonts w:ascii="Palatino Linotype" w:hAnsi="Palatino Linotype"/>
          <w:color w:val="222222"/>
          <w:sz w:val="24"/>
          <w:szCs w:val="24"/>
          <w:shd w:val="clear" w:color="auto" w:fill="FFFFFF"/>
          <w:lang w:val="es-ES"/>
        </w:rPr>
        <w:t xml:space="preserve"> </w:t>
      </w:r>
      <w:r w:rsidR="00410349" w:rsidRPr="005C39AD">
        <w:rPr>
          <w:rFonts w:ascii="Palatino Linotype" w:hAnsi="Palatino Linotype"/>
          <w:color w:val="222222"/>
          <w:sz w:val="24"/>
          <w:szCs w:val="24"/>
          <w:shd w:val="clear" w:color="auto" w:fill="FFFFFF"/>
          <w:lang w:val="es-ES"/>
        </w:rPr>
        <w:t>podrá promover el Juicio de Amparo en los términos de las leyes aplicables.</w:t>
      </w:r>
    </w:p>
    <w:p w:rsidR="003C63D5" w:rsidRDefault="003C63D5" w:rsidP="003C63D5">
      <w:pPr>
        <w:autoSpaceDE w:val="0"/>
        <w:autoSpaceDN w:val="0"/>
        <w:adjustRightInd w:val="0"/>
        <w:spacing w:after="0" w:line="360" w:lineRule="auto"/>
        <w:jc w:val="both"/>
        <w:rPr>
          <w:rFonts w:ascii="Palatino Linotype" w:hAnsi="Palatino Linotype" w:cs="Arial"/>
          <w:b/>
          <w:sz w:val="18"/>
          <w:szCs w:val="18"/>
        </w:rPr>
      </w:pPr>
    </w:p>
    <w:p w:rsidR="003C63D5" w:rsidRDefault="003C63D5" w:rsidP="003C63D5">
      <w:pPr>
        <w:autoSpaceDE w:val="0"/>
        <w:autoSpaceDN w:val="0"/>
        <w:adjustRightInd w:val="0"/>
        <w:spacing w:after="0" w:line="360" w:lineRule="auto"/>
        <w:jc w:val="both"/>
        <w:rPr>
          <w:rFonts w:ascii="Palatino Linotype" w:hAnsi="Palatino Linotype" w:cs="Arial"/>
          <w:b/>
          <w:sz w:val="18"/>
          <w:szCs w:val="18"/>
        </w:rPr>
      </w:pPr>
    </w:p>
    <w:p w:rsidR="000B753F" w:rsidRPr="000B753F" w:rsidRDefault="000B753F" w:rsidP="000B753F">
      <w:pPr>
        <w:spacing w:after="0" w:line="360" w:lineRule="auto"/>
        <w:jc w:val="both"/>
        <w:rPr>
          <w:rFonts w:ascii="Palatino Linotype" w:eastAsia="Calibri" w:hAnsi="Palatino Linotype" w:cs="Arial"/>
          <w:sz w:val="24"/>
          <w:szCs w:val="24"/>
        </w:rPr>
      </w:pPr>
      <w:r w:rsidRPr="000B753F">
        <w:rPr>
          <w:rFonts w:ascii="Palatino Linotype" w:eastAsia="Calibri" w:hAnsi="Palatino Linotype" w:cs="Arial"/>
          <w:sz w:val="24"/>
          <w:szCs w:val="24"/>
        </w:rPr>
        <w:t>ASÍ LO RESUELVE, POR UNANIMIDAD DE VOTOS EL PLENO DEL</w:t>
      </w:r>
      <w:r w:rsidRPr="000B753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B753F">
        <w:rPr>
          <w:rFonts w:ascii="Palatino Linotype" w:eastAsia="Calibri" w:hAnsi="Palatino Linotype" w:cs="Arial"/>
          <w:sz w:val="24"/>
          <w:szCs w:val="24"/>
        </w:rPr>
        <w:t xml:space="preserve">, CONFORMADO POR LOS COMISIONADOS ZULEMA MARTÍNEZ SÁNCHEZ, EVA ABAID YAPUR, JOSÉ GUADALUPE LUNA HERNÁNDEZ, JAVIER MARTÍNEZ CRUZ Y LUIS GUSTAVO PARRA NORIEGA, EN LA </w:t>
      </w:r>
      <w:r w:rsidR="00F978BB">
        <w:rPr>
          <w:rFonts w:ascii="Palatino Linotype" w:eastAsia="Calibri" w:hAnsi="Palatino Linotype" w:cs="Arial"/>
          <w:sz w:val="24"/>
          <w:szCs w:val="24"/>
        </w:rPr>
        <w:t>CUADRAGÉSIMA SEGUNDA</w:t>
      </w:r>
      <w:r w:rsidRPr="000B753F">
        <w:rPr>
          <w:rFonts w:ascii="Palatino Linotype" w:eastAsia="Calibri" w:hAnsi="Palatino Linotype" w:cs="Arial"/>
          <w:sz w:val="24"/>
          <w:szCs w:val="24"/>
        </w:rPr>
        <w:t xml:space="preserve"> SESIÓN ORDINARIA CELEBRADA EL </w:t>
      </w:r>
      <w:r w:rsidR="00F978BB">
        <w:rPr>
          <w:rFonts w:ascii="Palatino Linotype" w:eastAsia="Calibri" w:hAnsi="Palatino Linotype" w:cs="Arial"/>
          <w:sz w:val="24"/>
          <w:szCs w:val="24"/>
        </w:rPr>
        <w:t>CATORCE DE NOVIEMBRE</w:t>
      </w:r>
      <w:r w:rsidRPr="000B753F">
        <w:rPr>
          <w:rFonts w:ascii="Palatino Linotype" w:eastAsia="Calibri" w:hAnsi="Palatino Linotype" w:cs="Arial"/>
          <w:sz w:val="24"/>
          <w:szCs w:val="24"/>
        </w:rPr>
        <w:t xml:space="preserve"> DE DOS MIL DIECIOCHO, ANTE EL SECRETARIO TÉCNICO DEL </w:t>
      </w:r>
      <w:r w:rsidR="00FF147B">
        <w:rPr>
          <w:rFonts w:ascii="Palatino Linotype" w:eastAsia="Calibri" w:hAnsi="Palatino Linotype" w:cs="Arial"/>
          <w:sz w:val="24"/>
          <w:szCs w:val="24"/>
        </w:rPr>
        <w:t>PLENO, ALEXIS TAPIA RAMÍREZ.</w:t>
      </w:r>
      <w:r w:rsidR="00F978BB">
        <w:rPr>
          <w:rFonts w:ascii="Palatino Linotype" w:eastAsia="Calibri" w:hAnsi="Palatino Linotype" w:cs="Arial"/>
          <w:sz w:val="24"/>
          <w:szCs w:val="24"/>
        </w:rPr>
        <w:t>--------------------------------------------------------------------</w:t>
      </w:r>
      <w:r w:rsidR="003E0B12">
        <w:rPr>
          <w:rFonts w:ascii="Palatino Linotype" w:eastAsia="Calibri" w:hAnsi="Palatino Linotype" w:cs="Arial"/>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B753F" w:rsidRPr="000B753F" w:rsidTr="0074118B">
        <w:tc>
          <w:tcPr>
            <w:tcW w:w="9062" w:type="dxa"/>
            <w:gridSpan w:val="2"/>
          </w:tcPr>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Zulema Martínez Sánchez</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Comisionada Presidenta</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r w:rsidR="000B753F" w:rsidRPr="000B753F" w:rsidTr="0074118B">
        <w:tc>
          <w:tcPr>
            <w:tcW w:w="4531" w:type="dxa"/>
          </w:tcPr>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Eva Abaid Yapur</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Comisionada</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c>
          <w:tcPr>
            <w:tcW w:w="4531" w:type="dxa"/>
          </w:tcPr>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José Guadalupe Luna Hernández</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Comisionado</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r w:rsidR="000B753F" w:rsidRPr="000B753F" w:rsidTr="0074118B">
        <w:tc>
          <w:tcPr>
            <w:tcW w:w="4531" w:type="dxa"/>
          </w:tcPr>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Javier Martínez Cruz</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Comisionado</w:t>
            </w:r>
          </w:p>
          <w:p w:rsidR="000B753F" w:rsidRPr="000B753F" w:rsidRDefault="000B753F" w:rsidP="000B753F">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sz w:val="24"/>
                <w:szCs w:val="24"/>
                <w:lang w:eastAsia="es-ES"/>
              </w:rPr>
              <w:t>(Rúbrica)</w:t>
            </w:r>
          </w:p>
        </w:tc>
        <w:tc>
          <w:tcPr>
            <w:tcW w:w="4531" w:type="dxa"/>
          </w:tcPr>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Luis Gustavo Parra Noriega</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Comisionado</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r w:rsidR="000D2F6E" w:rsidRPr="000B753F" w:rsidTr="0074118B">
        <w:tc>
          <w:tcPr>
            <w:tcW w:w="4531" w:type="dxa"/>
          </w:tcPr>
          <w:p w:rsidR="000D2F6E" w:rsidRPr="000B753F" w:rsidRDefault="000D2F6E" w:rsidP="000B753F">
            <w:pPr>
              <w:jc w:val="center"/>
              <w:rPr>
                <w:rFonts w:ascii="Palatino Linotype" w:eastAsia="Times New Roman" w:hAnsi="Palatino Linotype" w:cs="Times New Roman"/>
                <w:b/>
                <w:sz w:val="24"/>
                <w:szCs w:val="24"/>
                <w:lang w:eastAsia="es-ES"/>
              </w:rPr>
            </w:pPr>
          </w:p>
        </w:tc>
        <w:tc>
          <w:tcPr>
            <w:tcW w:w="4531" w:type="dxa"/>
          </w:tcPr>
          <w:p w:rsidR="000D2F6E" w:rsidRPr="000B753F" w:rsidRDefault="000D2F6E" w:rsidP="000B753F">
            <w:pPr>
              <w:jc w:val="center"/>
              <w:rPr>
                <w:rFonts w:ascii="Palatino Linotype" w:eastAsia="Times New Roman" w:hAnsi="Palatino Linotype" w:cs="Times New Roman"/>
                <w:b/>
                <w:sz w:val="24"/>
                <w:szCs w:val="24"/>
                <w:lang w:eastAsia="es-ES"/>
              </w:rPr>
            </w:pPr>
          </w:p>
        </w:tc>
      </w:tr>
      <w:tr w:rsidR="000B753F" w:rsidRPr="000B753F" w:rsidTr="0074118B">
        <w:tc>
          <w:tcPr>
            <w:tcW w:w="9062" w:type="dxa"/>
            <w:gridSpan w:val="2"/>
          </w:tcPr>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both"/>
              <w:rPr>
                <w:rFonts w:ascii="Palatino Linotype" w:eastAsia="Times New Roman" w:hAnsi="Palatino Linotype" w:cs="Times New Roman"/>
                <w:b/>
                <w:sz w:val="24"/>
                <w:szCs w:val="24"/>
                <w:lang w:eastAsia="es-ES"/>
              </w:rPr>
            </w:pPr>
          </w:p>
          <w:p w:rsidR="000B753F" w:rsidRPr="000B753F" w:rsidRDefault="000B753F" w:rsidP="000B753F">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Alexis Tapia Ramírez</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Secretario Técnico del Pleno</w:t>
            </w:r>
          </w:p>
          <w:p w:rsidR="000B753F" w:rsidRPr="000B753F" w:rsidRDefault="000B753F" w:rsidP="000B753F">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bl>
    <w:p w:rsidR="000B753F" w:rsidRPr="000B753F" w:rsidRDefault="000B753F" w:rsidP="000B753F">
      <w:pPr>
        <w:spacing w:after="0" w:line="240" w:lineRule="auto"/>
        <w:jc w:val="center"/>
        <w:rPr>
          <w:rFonts w:ascii="Palatino Linotype" w:eastAsia="Calibri" w:hAnsi="Palatino Linotype" w:cs="Arial"/>
          <w:szCs w:val="25"/>
          <w:lang w:val="es-ES" w:eastAsia="es-ES"/>
        </w:rPr>
      </w:pPr>
    </w:p>
    <w:p w:rsidR="000B753F" w:rsidRPr="000B753F" w:rsidRDefault="000B753F" w:rsidP="000B753F">
      <w:pPr>
        <w:spacing w:after="0" w:line="240" w:lineRule="auto"/>
        <w:jc w:val="center"/>
        <w:rPr>
          <w:rFonts w:ascii="Palatino Linotype" w:eastAsia="Calibri" w:hAnsi="Palatino Linotype" w:cs="Arial"/>
          <w:sz w:val="24"/>
          <w:szCs w:val="25"/>
          <w:lang w:val="es-ES" w:eastAsia="es-ES"/>
        </w:rPr>
      </w:pPr>
    </w:p>
    <w:p w:rsidR="000B753F" w:rsidRPr="000B753F" w:rsidRDefault="000B753F" w:rsidP="000B753F">
      <w:pPr>
        <w:spacing w:after="0" w:line="240" w:lineRule="auto"/>
        <w:jc w:val="both"/>
        <w:rPr>
          <w:rFonts w:ascii="Palatino Linotype" w:eastAsia="Calibri" w:hAnsi="Palatino Linotype" w:cs="Arial"/>
          <w:sz w:val="18"/>
          <w:szCs w:val="18"/>
        </w:rPr>
      </w:pPr>
      <w:r w:rsidRPr="000B753F">
        <w:rPr>
          <w:rFonts w:ascii="Palatino Linotype" w:eastAsia="Calibri" w:hAnsi="Palatino Linotype" w:cs="Arial"/>
          <w:sz w:val="18"/>
          <w:szCs w:val="18"/>
        </w:rPr>
        <w:t xml:space="preserve">Esta hoja corresponde a la resolución del </w:t>
      </w:r>
      <w:r w:rsidR="009A55C7">
        <w:rPr>
          <w:rFonts w:ascii="Palatino Linotype" w:eastAsia="Calibri" w:hAnsi="Palatino Linotype" w:cs="Arial"/>
          <w:sz w:val="18"/>
          <w:szCs w:val="18"/>
        </w:rPr>
        <w:t>catorce de noviembre</w:t>
      </w:r>
      <w:r w:rsidRPr="000B753F">
        <w:rPr>
          <w:rFonts w:ascii="Palatino Linotype" w:eastAsia="Calibri" w:hAnsi="Palatino Linotype" w:cs="Arial"/>
          <w:sz w:val="18"/>
          <w:szCs w:val="18"/>
        </w:rPr>
        <w:t xml:space="preserve"> de dos mil dieciocho, emitida en el Recurso de Revisión </w:t>
      </w:r>
      <w:r w:rsidR="009A55C7" w:rsidRPr="009A55C7">
        <w:rPr>
          <w:rFonts w:ascii="Palatino Linotype" w:eastAsia="Calibri" w:hAnsi="Palatino Linotype" w:cs="Arial"/>
          <w:sz w:val="18"/>
          <w:szCs w:val="18"/>
        </w:rPr>
        <w:t>03490/INFOEM/IP/RR/2018</w:t>
      </w:r>
      <w:r w:rsidRPr="000B753F">
        <w:rPr>
          <w:rFonts w:ascii="Palatino Linotype" w:eastAsia="Calibri" w:hAnsi="Palatino Linotype" w:cs="Arial"/>
          <w:sz w:val="18"/>
          <w:szCs w:val="18"/>
        </w:rPr>
        <w:t>.</w:t>
      </w:r>
    </w:p>
    <w:p w:rsidR="002A5ADD" w:rsidRPr="000B753F" w:rsidRDefault="000B753F" w:rsidP="000B753F">
      <w:pPr>
        <w:tabs>
          <w:tab w:val="left" w:pos="284"/>
        </w:tabs>
        <w:spacing w:after="0" w:line="240" w:lineRule="auto"/>
        <w:jc w:val="both"/>
        <w:rPr>
          <w:rFonts w:ascii="Palatino Linotype" w:eastAsia="Calibri" w:hAnsi="Palatino Linotype" w:cs="Arial"/>
          <w:sz w:val="18"/>
          <w:szCs w:val="18"/>
        </w:rPr>
      </w:pPr>
      <w:r w:rsidRPr="000B753F">
        <w:rPr>
          <w:rFonts w:ascii="Palatino Linotype" w:eastAsia="Calibri" w:hAnsi="Palatino Linotype" w:cs="Arial"/>
          <w:sz w:val="18"/>
          <w:szCs w:val="18"/>
        </w:rPr>
        <w:t>ZMS/OSAM/EJDG</w:t>
      </w:r>
    </w:p>
    <w:sectPr w:rsidR="002A5ADD" w:rsidRPr="000B753F" w:rsidSect="00077960">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DD9" w:rsidRDefault="00F37DD9" w:rsidP="003C63D5">
      <w:pPr>
        <w:spacing w:after="0" w:line="240" w:lineRule="auto"/>
      </w:pPr>
      <w:r>
        <w:separator/>
      </w:r>
    </w:p>
  </w:endnote>
  <w:endnote w:type="continuationSeparator" w:id="0">
    <w:p w:rsidR="00F37DD9" w:rsidRDefault="00F37DD9" w:rsidP="003C6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960" w:rsidRPr="000B69FA" w:rsidRDefault="00077960" w:rsidP="000779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16DD">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116DD">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960" w:rsidRPr="000B69FA" w:rsidRDefault="00077960" w:rsidP="000779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16D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116DD">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DD9" w:rsidRDefault="00F37DD9" w:rsidP="003C63D5">
      <w:pPr>
        <w:spacing w:after="0" w:line="240" w:lineRule="auto"/>
      </w:pPr>
      <w:r>
        <w:separator/>
      </w:r>
    </w:p>
  </w:footnote>
  <w:footnote w:type="continuationSeparator" w:id="0">
    <w:p w:rsidR="00F37DD9" w:rsidRDefault="00F37DD9" w:rsidP="003C63D5">
      <w:pPr>
        <w:spacing w:after="0" w:line="240" w:lineRule="auto"/>
      </w:pPr>
      <w:r>
        <w:continuationSeparator/>
      </w:r>
    </w:p>
  </w:footnote>
  <w:footnote w:id="1">
    <w:p w:rsidR="00077960" w:rsidRPr="00911081" w:rsidRDefault="00077960" w:rsidP="003C63D5">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7960" w:rsidRPr="00911081" w:rsidRDefault="00077960" w:rsidP="003C63D5">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Style w:val="apple-converted-space"/>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Style w:val="apple-converted-space"/>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Pr>
          <w:rStyle w:val="apple-converted-space"/>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77960" w:rsidRPr="00745973" w:rsidRDefault="00077960" w:rsidP="003C63D5">
      <w:pPr>
        <w:pStyle w:val="Textonotapie"/>
        <w:jc w:val="both"/>
        <w:rPr>
          <w:rFonts w:ascii="Palatino Linotype" w:hAnsi="Palatino Linotype"/>
          <w:i/>
          <w:sz w:val="18"/>
        </w:rPr>
      </w:pPr>
      <w:r>
        <w:rPr>
          <w:rStyle w:val="Refdenotaalpie"/>
        </w:rPr>
        <w:footnoteRef/>
      </w:r>
      <w:r w:rsidRPr="00745973">
        <w:rPr>
          <w:rFonts w:ascii="Palatino Linotype" w:hAnsi="Palatino Linotype"/>
          <w:b/>
          <w:i/>
          <w:sz w:val="18"/>
        </w:rPr>
        <w:t>Artículo 24.</w:t>
      </w:r>
      <w:r w:rsidRPr="00745973">
        <w:rPr>
          <w:rFonts w:ascii="Palatino Linotype" w:hAnsi="Palatino Linotype"/>
          <w:i/>
          <w:sz w:val="18"/>
        </w:rPr>
        <w:t xml:space="preserve"> Para el cumplimiento de los objetivos de esta Ley, los sujetos obligados deberán cumplir con las siguientes obligaciones, según corresponda, de acuerdo a su naturaleza:</w:t>
      </w:r>
    </w:p>
    <w:p w:rsidR="00077960" w:rsidRPr="00745973" w:rsidRDefault="00077960" w:rsidP="003C63D5">
      <w:pPr>
        <w:pStyle w:val="Textonotapie"/>
        <w:jc w:val="both"/>
        <w:rPr>
          <w:rFonts w:ascii="Palatino Linotype" w:hAnsi="Palatino Linotype"/>
          <w:i/>
          <w:sz w:val="18"/>
        </w:rPr>
      </w:pPr>
      <w:r w:rsidRPr="00745973">
        <w:rPr>
          <w:rFonts w:ascii="Palatino Linotype" w:hAnsi="Palatino Linotype"/>
          <w:i/>
          <w:sz w:val="18"/>
        </w:rPr>
        <w:t>(…)</w:t>
      </w:r>
    </w:p>
    <w:p w:rsidR="00077960" w:rsidRPr="00745973" w:rsidRDefault="00077960" w:rsidP="003C63D5">
      <w:pPr>
        <w:pStyle w:val="Textonotapie"/>
        <w:jc w:val="both"/>
        <w:rPr>
          <w:rFonts w:ascii="Palatino Linotype" w:hAnsi="Palatino Linotype"/>
          <w:i/>
          <w:sz w:val="18"/>
          <w:u w:val="single"/>
        </w:rPr>
      </w:pPr>
      <w:r w:rsidRPr="00745973">
        <w:rPr>
          <w:rFonts w:ascii="Palatino Linotype" w:hAnsi="Palatino Linotype"/>
          <w:i/>
          <w:sz w:val="18"/>
          <w:u w:val="single"/>
        </w:rPr>
        <w:t>Los sujetos obligados solo proporcionarán la información pública que generen, administren o posean en el ejercicio de sus atribuciones.</w:t>
      </w:r>
    </w:p>
    <w:p w:rsidR="00077960" w:rsidRPr="00745973" w:rsidRDefault="00077960" w:rsidP="003C63D5">
      <w:pPr>
        <w:pStyle w:val="Textonotapie"/>
        <w:jc w:val="both"/>
        <w:rPr>
          <w:rFonts w:ascii="Palatino Linotype" w:hAnsi="Palatino Linotype"/>
          <w:i/>
          <w:sz w:val="18"/>
          <w:u w:val="single"/>
        </w:rPr>
      </w:pPr>
    </w:p>
  </w:footnote>
  <w:footnote w:id="3">
    <w:p w:rsidR="00077960" w:rsidRPr="00363498" w:rsidRDefault="00077960" w:rsidP="003C63D5">
      <w:pPr>
        <w:pStyle w:val="Textonotapie"/>
        <w:jc w:val="both"/>
        <w:rPr>
          <w:rFonts w:ascii="Palatino Linotype" w:hAnsi="Palatino Linotype"/>
          <w:sz w:val="18"/>
        </w:rPr>
      </w:pPr>
      <w:r w:rsidRPr="00363498">
        <w:rPr>
          <w:rStyle w:val="Refdenotaalpie"/>
          <w:rFonts w:ascii="Palatino Linotype" w:hAnsi="Palatino Linotype"/>
          <w:sz w:val="18"/>
        </w:rPr>
        <w:footnoteRef/>
      </w:r>
      <w:r w:rsidRPr="00363498">
        <w:rPr>
          <w:rFonts w:ascii="Palatino Linotype" w:hAnsi="Palatino Linotype"/>
          <w:sz w:val="18"/>
        </w:rPr>
        <w:t xml:space="preserve"> </w:t>
      </w:r>
      <w:r w:rsidRPr="00363498">
        <w:rPr>
          <w:rFonts w:ascii="Palatino Linotype" w:hAnsi="Palatino Linotype"/>
          <w:b/>
          <w:sz w:val="18"/>
        </w:rPr>
        <w:t>Artículo 179</w:t>
      </w:r>
      <w:r w:rsidRPr="00363498">
        <w:rPr>
          <w:rFonts w:ascii="Palatino Linotype" w:hAnsi="Palatino Linotype"/>
          <w:sz w:val="18"/>
        </w:rPr>
        <w:t>. El recurso de revisión es un medio de protección que la Ley otorga a los particulares, para hacer valer su derecho de acceso a la información pública, y procederá en contra de las siguientes causas:</w:t>
      </w:r>
      <w:r w:rsidRPr="00363498">
        <w:rPr>
          <w:rFonts w:ascii="Palatino Linotype" w:hAnsi="Palatino Linotype"/>
          <w:sz w:val="18"/>
        </w:rPr>
        <w:cr/>
        <w:t>(…)</w:t>
      </w:r>
    </w:p>
    <w:p w:rsidR="00077960" w:rsidRPr="00363498" w:rsidRDefault="00077960" w:rsidP="003C63D5">
      <w:pPr>
        <w:pStyle w:val="Textonotapie"/>
        <w:jc w:val="both"/>
        <w:rPr>
          <w:rFonts w:ascii="Palatino Linotype" w:hAnsi="Palatino Linotype"/>
          <w:sz w:val="18"/>
        </w:rPr>
      </w:pPr>
      <w:r w:rsidRPr="00363498">
        <w:rPr>
          <w:rFonts w:ascii="Palatino Linotype" w:hAnsi="Palatino Linotype"/>
          <w:b/>
          <w:sz w:val="18"/>
        </w:rPr>
        <w:t>V</w:t>
      </w:r>
      <w:r w:rsidRPr="00363498">
        <w:rPr>
          <w:rFonts w:ascii="Palatino Linotype" w:hAnsi="Palatino Linotype"/>
          <w:sz w:val="18"/>
        </w:rPr>
        <w:t>. La entrega de información incompleta;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960" w:rsidRDefault="0007796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77960" w:rsidTr="00077960">
      <w:trPr>
        <w:trHeight w:val="227"/>
      </w:trPr>
      <w:tc>
        <w:tcPr>
          <w:tcW w:w="5529" w:type="dxa"/>
          <w:hideMark/>
        </w:tcPr>
        <w:p w:rsidR="00077960" w:rsidRDefault="00077960" w:rsidP="0007796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77960" w:rsidRDefault="00277C48" w:rsidP="003C63D5">
          <w:pPr>
            <w:spacing w:after="120" w:line="256" w:lineRule="auto"/>
            <w:ind w:left="-486" w:right="214" w:firstLine="1585"/>
            <w:jc w:val="right"/>
            <w:rPr>
              <w:rFonts w:ascii="Palatino Linotype" w:hAnsi="Palatino Linotype" w:cs="Arial"/>
              <w:szCs w:val="20"/>
            </w:rPr>
          </w:pPr>
          <w:r w:rsidRPr="00277C48">
            <w:rPr>
              <w:rFonts w:ascii="Palatino Linotype" w:hAnsi="Palatino Linotype" w:cs="Arial"/>
              <w:bCs/>
              <w:sz w:val="24"/>
              <w:lang w:eastAsia="es-MX"/>
            </w:rPr>
            <w:t>03490/INFOEM/IP/RR/2018</w:t>
          </w:r>
        </w:p>
      </w:tc>
    </w:tr>
    <w:tr w:rsidR="00077960" w:rsidTr="00077960">
      <w:trPr>
        <w:trHeight w:val="242"/>
      </w:trPr>
      <w:tc>
        <w:tcPr>
          <w:tcW w:w="5529" w:type="dxa"/>
          <w:hideMark/>
        </w:tcPr>
        <w:p w:rsidR="00077960" w:rsidRDefault="00077960" w:rsidP="000779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77960" w:rsidRDefault="00277C48" w:rsidP="00077960">
          <w:pPr>
            <w:spacing w:after="120" w:line="256" w:lineRule="auto"/>
            <w:ind w:left="-486" w:right="214" w:firstLine="284"/>
            <w:jc w:val="right"/>
            <w:rPr>
              <w:rFonts w:ascii="Palatino Linotype" w:hAnsi="Palatino Linotype" w:cs="Arial"/>
              <w:szCs w:val="20"/>
            </w:rPr>
          </w:pPr>
          <w:r w:rsidRPr="00277C48">
            <w:rPr>
              <w:rFonts w:ascii="Palatino Linotype" w:hAnsi="Palatino Linotype" w:cs="Arial"/>
              <w:szCs w:val="20"/>
            </w:rPr>
            <w:t>Secretaría de Educación</w:t>
          </w:r>
        </w:p>
      </w:tc>
    </w:tr>
    <w:tr w:rsidR="00077960" w:rsidTr="00077960">
      <w:trPr>
        <w:trHeight w:val="342"/>
      </w:trPr>
      <w:tc>
        <w:tcPr>
          <w:tcW w:w="5529" w:type="dxa"/>
          <w:hideMark/>
        </w:tcPr>
        <w:p w:rsidR="00077960" w:rsidRDefault="00077960" w:rsidP="000779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77960" w:rsidRDefault="00077960" w:rsidP="000779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77960" w:rsidRDefault="0007796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77960" w:rsidTr="00077960">
      <w:trPr>
        <w:trHeight w:val="227"/>
      </w:trPr>
      <w:tc>
        <w:tcPr>
          <w:tcW w:w="5529" w:type="dxa"/>
          <w:hideMark/>
        </w:tcPr>
        <w:p w:rsidR="00077960" w:rsidRDefault="00077960" w:rsidP="0007796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77960" w:rsidRPr="00B4142F" w:rsidRDefault="00277C48" w:rsidP="003C63D5">
          <w:pPr>
            <w:spacing w:after="120" w:line="256" w:lineRule="auto"/>
            <w:ind w:left="-486" w:right="214" w:firstLine="1408"/>
            <w:jc w:val="right"/>
            <w:rPr>
              <w:rFonts w:ascii="Palatino Linotype" w:hAnsi="Palatino Linotype" w:cs="Arial"/>
              <w:szCs w:val="20"/>
            </w:rPr>
          </w:pPr>
          <w:r w:rsidRPr="00277C48">
            <w:rPr>
              <w:rFonts w:ascii="Palatino Linotype" w:hAnsi="Palatino Linotype" w:cs="Arial"/>
              <w:bCs/>
              <w:sz w:val="24"/>
              <w:lang w:eastAsia="es-MX"/>
            </w:rPr>
            <w:t>03490/INFOEM/IP/RR/2018</w:t>
          </w:r>
        </w:p>
      </w:tc>
    </w:tr>
    <w:tr w:rsidR="00077960" w:rsidTr="00077960">
      <w:trPr>
        <w:trHeight w:val="196"/>
      </w:trPr>
      <w:tc>
        <w:tcPr>
          <w:tcW w:w="5529" w:type="dxa"/>
          <w:hideMark/>
        </w:tcPr>
        <w:p w:rsidR="00077960" w:rsidRDefault="00077960" w:rsidP="0007796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77960" w:rsidRPr="00F06FED" w:rsidRDefault="005D4F1F" w:rsidP="003C63D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077960" w:rsidTr="00077960">
      <w:trPr>
        <w:trHeight w:val="242"/>
      </w:trPr>
      <w:tc>
        <w:tcPr>
          <w:tcW w:w="5529" w:type="dxa"/>
          <w:hideMark/>
        </w:tcPr>
        <w:p w:rsidR="00077960" w:rsidRDefault="00077960" w:rsidP="000779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77960" w:rsidRDefault="00277C48" w:rsidP="00077960">
          <w:pPr>
            <w:spacing w:after="120" w:line="256" w:lineRule="auto"/>
            <w:ind w:left="-495" w:right="214" w:firstLine="567"/>
            <w:jc w:val="right"/>
            <w:rPr>
              <w:rFonts w:ascii="Palatino Linotype" w:hAnsi="Palatino Linotype" w:cs="Arial"/>
              <w:szCs w:val="20"/>
            </w:rPr>
          </w:pPr>
          <w:r w:rsidRPr="00277C48">
            <w:rPr>
              <w:rFonts w:ascii="Palatino Linotype" w:hAnsi="Palatino Linotype" w:cs="Arial"/>
              <w:szCs w:val="20"/>
            </w:rPr>
            <w:t>Secretaría de Educación</w:t>
          </w:r>
        </w:p>
      </w:tc>
    </w:tr>
    <w:tr w:rsidR="00077960" w:rsidTr="00077960">
      <w:trPr>
        <w:trHeight w:val="342"/>
      </w:trPr>
      <w:tc>
        <w:tcPr>
          <w:tcW w:w="5529" w:type="dxa"/>
          <w:hideMark/>
        </w:tcPr>
        <w:p w:rsidR="00077960" w:rsidRDefault="00077960" w:rsidP="000779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77960" w:rsidRDefault="00077960" w:rsidP="000779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77960" w:rsidRDefault="000779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8365C"/>
    <w:multiLevelType w:val="hybridMultilevel"/>
    <w:tmpl w:val="2F3A2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8C339E"/>
    <w:multiLevelType w:val="hybridMultilevel"/>
    <w:tmpl w:val="58E83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4" w15:restartNumberingAfterBreak="0">
    <w:nsid w:val="39B05673"/>
    <w:multiLevelType w:val="hybridMultilevel"/>
    <w:tmpl w:val="E28236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DD4FFC"/>
    <w:multiLevelType w:val="hybridMultilevel"/>
    <w:tmpl w:val="3D647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4F191B"/>
    <w:multiLevelType w:val="hybridMultilevel"/>
    <w:tmpl w:val="A6823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D42CB7"/>
    <w:multiLevelType w:val="hybridMultilevel"/>
    <w:tmpl w:val="24BA36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4"/>
  </w:num>
  <w:num w:numId="5">
    <w:abstractNumId w:val="8"/>
  </w:num>
  <w:num w:numId="6">
    <w:abstractNumId w:val="6"/>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3D5"/>
    <w:rsid w:val="0003211D"/>
    <w:rsid w:val="000428A1"/>
    <w:rsid w:val="00052BBE"/>
    <w:rsid w:val="00066380"/>
    <w:rsid w:val="000708A7"/>
    <w:rsid w:val="00077960"/>
    <w:rsid w:val="000A0AC2"/>
    <w:rsid w:val="000A0E2D"/>
    <w:rsid w:val="000B0AB4"/>
    <w:rsid w:val="000B6E06"/>
    <w:rsid w:val="000B753F"/>
    <w:rsid w:val="000D2F6E"/>
    <w:rsid w:val="000F22C3"/>
    <w:rsid w:val="00120847"/>
    <w:rsid w:val="0012648A"/>
    <w:rsid w:val="001355AC"/>
    <w:rsid w:val="0016544E"/>
    <w:rsid w:val="00167191"/>
    <w:rsid w:val="00181833"/>
    <w:rsid w:val="001A5BEB"/>
    <w:rsid w:val="001B213A"/>
    <w:rsid w:val="001C1E26"/>
    <w:rsid w:val="001C6AFA"/>
    <w:rsid w:val="001D18E3"/>
    <w:rsid w:val="001D522A"/>
    <w:rsid w:val="0022260D"/>
    <w:rsid w:val="00234B4D"/>
    <w:rsid w:val="0024252C"/>
    <w:rsid w:val="002478A6"/>
    <w:rsid w:val="00250A03"/>
    <w:rsid w:val="00260670"/>
    <w:rsid w:val="00266D4B"/>
    <w:rsid w:val="00271ADC"/>
    <w:rsid w:val="0027226B"/>
    <w:rsid w:val="00277C48"/>
    <w:rsid w:val="002A0DF3"/>
    <w:rsid w:val="002A5ADD"/>
    <w:rsid w:val="002D04A0"/>
    <w:rsid w:val="002D1913"/>
    <w:rsid w:val="002D5CB7"/>
    <w:rsid w:val="00342CB9"/>
    <w:rsid w:val="00351613"/>
    <w:rsid w:val="003617DD"/>
    <w:rsid w:val="0038212A"/>
    <w:rsid w:val="003C63D5"/>
    <w:rsid w:val="003E0B12"/>
    <w:rsid w:val="003E34BE"/>
    <w:rsid w:val="0040426E"/>
    <w:rsid w:val="00410349"/>
    <w:rsid w:val="00413789"/>
    <w:rsid w:val="0042466C"/>
    <w:rsid w:val="004478CF"/>
    <w:rsid w:val="00450F1B"/>
    <w:rsid w:val="00461049"/>
    <w:rsid w:val="0047128D"/>
    <w:rsid w:val="004742FA"/>
    <w:rsid w:val="00486FAE"/>
    <w:rsid w:val="004C105C"/>
    <w:rsid w:val="004C46A8"/>
    <w:rsid w:val="004F7335"/>
    <w:rsid w:val="005051FB"/>
    <w:rsid w:val="005053D3"/>
    <w:rsid w:val="005334A6"/>
    <w:rsid w:val="00535748"/>
    <w:rsid w:val="00537BC7"/>
    <w:rsid w:val="005548D6"/>
    <w:rsid w:val="00561D4E"/>
    <w:rsid w:val="0056429C"/>
    <w:rsid w:val="00572FCD"/>
    <w:rsid w:val="0057409A"/>
    <w:rsid w:val="005824CE"/>
    <w:rsid w:val="005832EA"/>
    <w:rsid w:val="00593E1B"/>
    <w:rsid w:val="005A2C2A"/>
    <w:rsid w:val="005A53F9"/>
    <w:rsid w:val="005A7A52"/>
    <w:rsid w:val="005B5D10"/>
    <w:rsid w:val="005C564B"/>
    <w:rsid w:val="005D0FA9"/>
    <w:rsid w:val="005D4F1F"/>
    <w:rsid w:val="005D7B38"/>
    <w:rsid w:val="005E0D84"/>
    <w:rsid w:val="005E1DA9"/>
    <w:rsid w:val="00602364"/>
    <w:rsid w:val="00606302"/>
    <w:rsid w:val="00611B91"/>
    <w:rsid w:val="00613422"/>
    <w:rsid w:val="00622B84"/>
    <w:rsid w:val="006310CC"/>
    <w:rsid w:val="00641BDE"/>
    <w:rsid w:val="00665363"/>
    <w:rsid w:val="006667E8"/>
    <w:rsid w:val="006726E9"/>
    <w:rsid w:val="0067780B"/>
    <w:rsid w:val="00686C99"/>
    <w:rsid w:val="0069172F"/>
    <w:rsid w:val="00694674"/>
    <w:rsid w:val="00695757"/>
    <w:rsid w:val="006B4A11"/>
    <w:rsid w:val="006C1E0F"/>
    <w:rsid w:val="006D3CD9"/>
    <w:rsid w:val="006E26C4"/>
    <w:rsid w:val="006E70D0"/>
    <w:rsid w:val="006F5C9A"/>
    <w:rsid w:val="007101C9"/>
    <w:rsid w:val="007116DD"/>
    <w:rsid w:val="00740DE1"/>
    <w:rsid w:val="00745BFA"/>
    <w:rsid w:val="00772F10"/>
    <w:rsid w:val="00792C5B"/>
    <w:rsid w:val="007B3DD1"/>
    <w:rsid w:val="007C55B7"/>
    <w:rsid w:val="007D7704"/>
    <w:rsid w:val="007F1B96"/>
    <w:rsid w:val="007F730C"/>
    <w:rsid w:val="00815029"/>
    <w:rsid w:val="00820DF8"/>
    <w:rsid w:val="00863BB9"/>
    <w:rsid w:val="00884D06"/>
    <w:rsid w:val="008925B5"/>
    <w:rsid w:val="008B286D"/>
    <w:rsid w:val="008B3870"/>
    <w:rsid w:val="008B736B"/>
    <w:rsid w:val="008C1BCA"/>
    <w:rsid w:val="008D65A0"/>
    <w:rsid w:val="008E1145"/>
    <w:rsid w:val="008F0306"/>
    <w:rsid w:val="008F3E77"/>
    <w:rsid w:val="0091353D"/>
    <w:rsid w:val="0091741F"/>
    <w:rsid w:val="0093232B"/>
    <w:rsid w:val="009355EA"/>
    <w:rsid w:val="00944752"/>
    <w:rsid w:val="00966A02"/>
    <w:rsid w:val="00977BCA"/>
    <w:rsid w:val="00992876"/>
    <w:rsid w:val="0099318C"/>
    <w:rsid w:val="00994FD3"/>
    <w:rsid w:val="009A55C7"/>
    <w:rsid w:val="009B0794"/>
    <w:rsid w:val="009C553D"/>
    <w:rsid w:val="00A02B31"/>
    <w:rsid w:val="00A11FFA"/>
    <w:rsid w:val="00A12CED"/>
    <w:rsid w:val="00A14135"/>
    <w:rsid w:val="00A60DAC"/>
    <w:rsid w:val="00A65ADC"/>
    <w:rsid w:val="00A65E48"/>
    <w:rsid w:val="00AF1EE2"/>
    <w:rsid w:val="00AF4C42"/>
    <w:rsid w:val="00B07B0A"/>
    <w:rsid w:val="00B20B8B"/>
    <w:rsid w:val="00B22C7B"/>
    <w:rsid w:val="00B31185"/>
    <w:rsid w:val="00B5106A"/>
    <w:rsid w:val="00B52BA0"/>
    <w:rsid w:val="00B53141"/>
    <w:rsid w:val="00B758ED"/>
    <w:rsid w:val="00B9044E"/>
    <w:rsid w:val="00BB44A1"/>
    <w:rsid w:val="00BB616E"/>
    <w:rsid w:val="00BC2FC9"/>
    <w:rsid w:val="00BC34A7"/>
    <w:rsid w:val="00C1650F"/>
    <w:rsid w:val="00C265F9"/>
    <w:rsid w:val="00C34565"/>
    <w:rsid w:val="00C47AC3"/>
    <w:rsid w:val="00C542A7"/>
    <w:rsid w:val="00C677AF"/>
    <w:rsid w:val="00C67E21"/>
    <w:rsid w:val="00C73056"/>
    <w:rsid w:val="00C77636"/>
    <w:rsid w:val="00CA0481"/>
    <w:rsid w:val="00CC2069"/>
    <w:rsid w:val="00CF12FE"/>
    <w:rsid w:val="00D11CE4"/>
    <w:rsid w:val="00D14D01"/>
    <w:rsid w:val="00D51D7B"/>
    <w:rsid w:val="00D54363"/>
    <w:rsid w:val="00D61D8E"/>
    <w:rsid w:val="00D80668"/>
    <w:rsid w:val="00DD3F0B"/>
    <w:rsid w:val="00DD4173"/>
    <w:rsid w:val="00DF37C7"/>
    <w:rsid w:val="00E03FB5"/>
    <w:rsid w:val="00E06DB5"/>
    <w:rsid w:val="00E257BB"/>
    <w:rsid w:val="00E536F5"/>
    <w:rsid w:val="00E550AE"/>
    <w:rsid w:val="00E61285"/>
    <w:rsid w:val="00E66465"/>
    <w:rsid w:val="00E750E4"/>
    <w:rsid w:val="00E90B75"/>
    <w:rsid w:val="00E96661"/>
    <w:rsid w:val="00EA0C67"/>
    <w:rsid w:val="00EC52F6"/>
    <w:rsid w:val="00EC6CDC"/>
    <w:rsid w:val="00EC79BE"/>
    <w:rsid w:val="00ED5763"/>
    <w:rsid w:val="00EF39FD"/>
    <w:rsid w:val="00EF41CA"/>
    <w:rsid w:val="00EF5A7D"/>
    <w:rsid w:val="00F0481E"/>
    <w:rsid w:val="00F275CF"/>
    <w:rsid w:val="00F37DD9"/>
    <w:rsid w:val="00F40842"/>
    <w:rsid w:val="00F51C39"/>
    <w:rsid w:val="00F7262E"/>
    <w:rsid w:val="00F978BB"/>
    <w:rsid w:val="00FA1143"/>
    <w:rsid w:val="00FA65EF"/>
    <w:rsid w:val="00FB078A"/>
    <w:rsid w:val="00FB6015"/>
    <w:rsid w:val="00FD46BD"/>
    <w:rsid w:val="00FF14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CADDD2-A731-430F-BCCF-981B7B44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3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3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C63D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C63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C63D5"/>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3C63D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3C63D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C63D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C63D5"/>
    <w:rPr>
      <w:vertAlign w:val="superscript"/>
    </w:rPr>
  </w:style>
  <w:style w:type="character" w:styleId="Hipervnculo">
    <w:name w:val="Hyperlink"/>
    <w:basedOn w:val="Fuentedeprrafopredeter"/>
    <w:uiPriority w:val="99"/>
    <w:unhideWhenUsed/>
    <w:rsid w:val="003C63D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C63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C63D5"/>
    <w:rPr>
      <w:sz w:val="20"/>
      <w:szCs w:val="20"/>
    </w:rPr>
  </w:style>
  <w:style w:type="table" w:styleId="Tablaconcuadrcula">
    <w:name w:val="Table Grid"/>
    <w:basedOn w:val="Tablanormal"/>
    <w:uiPriority w:val="39"/>
    <w:rsid w:val="007B3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77B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7BCA"/>
    <w:rPr>
      <w:rFonts w:ascii="Segoe UI" w:hAnsi="Segoe UI" w:cs="Segoe UI"/>
      <w:sz w:val="18"/>
      <w:szCs w:val="18"/>
    </w:rPr>
  </w:style>
  <w:style w:type="paragraph" w:styleId="Sinespaciado">
    <w:name w:val="No Spacing"/>
    <w:aliases w:val="Francesa"/>
    <w:link w:val="SinespaciadoCar"/>
    <w:uiPriority w:val="1"/>
    <w:qFormat/>
    <w:rsid w:val="00B52BA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52BA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50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0F61B-C5A8-44AD-9104-7B8C98FB7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5142</Words>
  <Characters>28282</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2018-11-14T22:41:00Z</cp:lastPrinted>
  <dcterms:created xsi:type="dcterms:W3CDTF">2018-11-23T15:55:00Z</dcterms:created>
  <dcterms:modified xsi:type="dcterms:W3CDTF">2018-11-23T15:55:00Z</dcterms:modified>
</cp:coreProperties>
</file>